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C58" w:rsidRDefault="00E14C58" w:rsidP="00157197">
      <w:pPr>
        <w:tabs>
          <w:tab w:val="center" w:pos="4536"/>
          <w:tab w:val="right" w:pos="8080"/>
          <w:tab w:val="right" w:pos="9639"/>
        </w:tabs>
        <w:spacing w:after="0"/>
        <w:ind w:right="2"/>
        <w:rPr>
          <w:rFonts w:ascii="Arial" w:hAnsi="Arial" w:cs="Arial"/>
          <w:b/>
          <w:bCs/>
          <w:sz w:val="28"/>
        </w:rPr>
      </w:pPr>
      <w:bookmarkStart w:id="0" w:name="historyclause"/>
      <w:bookmarkStart w:id="1" w:name="_Toc383764588"/>
      <w:r w:rsidRPr="0052548E">
        <w:rPr>
          <w:rFonts w:ascii="Arial" w:hAnsi="Arial" w:cs="Arial"/>
          <w:b/>
          <w:bCs/>
          <w:sz w:val="28"/>
        </w:rPr>
        <w:t xml:space="preserve">3GPP TSG RAN WG1 </w:t>
      </w:r>
      <w:r w:rsidR="000227BE">
        <w:rPr>
          <w:rFonts w:ascii="Arial" w:hAnsi="Arial" w:cs="Arial"/>
          <w:b/>
          <w:bCs/>
          <w:sz w:val="28"/>
        </w:rPr>
        <w:t>#9</w:t>
      </w:r>
      <w:r w:rsidR="00395C3F">
        <w:rPr>
          <w:rFonts w:ascii="Arial" w:hAnsi="Arial" w:cs="Arial"/>
          <w:b/>
          <w:bCs/>
          <w:sz w:val="28"/>
        </w:rPr>
        <w:t>8</w:t>
      </w:r>
      <w:r w:rsidR="00B5715A">
        <w:rPr>
          <w:rFonts w:ascii="Arial" w:hAnsi="Arial" w:cs="Arial"/>
          <w:b/>
          <w:bCs/>
          <w:sz w:val="28"/>
        </w:rPr>
        <w:t>bis</w:t>
      </w:r>
      <w:r>
        <w:rPr>
          <w:rFonts w:ascii="Arial" w:eastAsia="MS Mincho" w:hAnsi="Arial" w:cs="Arial"/>
          <w:b/>
          <w:bCs/>
          <w:sz w:val="28"/>
          <w:lang w:eastAsia="ja-JP"/>
        </w:rPr>
        <w:tab/>
      </w:r>
      <w:r>
        <w:rPr>
          <w:rFonts w:ascii="Arial" w:hAnsi="Arial" w:cs="Arial"/>
          <w:b/>
          <w:bCs/>
          <w:sz w:val="28"/>
        </w:rPr>
        <w:tab/>
      </w:r>
      <w:r w:rsidR="00772821">
        <w:rPr>
          <w:rFonts w:ascii="Arial" w:hAnsi="Arial" w:cs="Arial"/>
          <w:b/>
          <w:bCs/>
          <w:sz w:val="28"/>
        </w:rPr>
        <w:tab/>
      </w:r>
      <w:r w:rsidR="00A551C0" w:rsidRPr="00A551C0">
        <w:rPr>
          <w:rFonts w:ascii="Arial" w:hAnsi="Arial" w:cs="Arial"/>
          <w:b/>
          <w:bCs/>
          <w:sz w:val="28"/>
        </w:rPr>
        <w:t>R1-19</w:t>
      </w:r>
      <w:r w:rsidR="00190B4F">
        <w:rPr>
          <w:rFonts w:ascii="Arial" w:hAnsi="Arial" w:cs="Arial"/>
          <w:b/>
          <w:bCs/>
          <w:sz w:val="28"/>
        </w:rPr>
        <w:t>11077</w:t>
      </w:r>
    </w:p>
    <w:p w:rsidR="00AC6325" w:rsidRPr="009513AC" w:rsidRDefault="00B5715A" w:rsidP="00AC6325">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Chongqing</w:t>
      </w:r>
      <w:r w:rsidR="00AC6325">
        <w:rPr>
          <w:rFonts w:ascii="Arial" w:eastAsia="MS Mincho" w:hAnsi="Arial" w:cs="Arial"/>
          <w:b/>
          <w:bCs/>
          <w:sz w:val="28"/>
          <w:lang w:eastAsia="ja-JP"/>
        </w:rPr>
        <w:t xml:space="preserve">, </w:t>
      </w:r>
      <w:r w:rsidR="00395C3F">
        <w:rPr>
          <w:rFonts w:ascii="Arial" w:eastAsia="MS Mincho" w:hAnsi="Arial" w:cs="Arial"/>
          <w:b/>
          <w:bCs/>
          <w:sz w:val="28"/>
          <w:lang w:eastAsia="ja-JP"/>
        </w:rPr>
        <w:t>C</w:t>
      </w:r>
      <w:r>
        <w:rPr>
          <w:rFonts w:ascii="Arial" w:eastAsia="MS Mincho" w:hAnsi="Arial" w:cs="Arial"/>
          <w:b/>
          <w:bCs/>
          <w:sz w:val="28"/>
          <w:lang w:eastAsia="ja-JP"/>
        </w:rPr>
        <w:t>hina</w:t>
      </w:r>
      <w:r w:rsidR="00AC6325">
        <w:rPr>
          <w:rFonts w:ascii="Arial" w:eastAsia="MS Mincho" w:hAnsi="Arial" w:cs="Arial"/>
          <w:b/>
          <w:bCs/>
          <w:sz w:val="28"/>
          <w:lang w:eastAsia="ja-JP"/>
        </w:rPr>
        <w:t xml:space="preserve">, </w:t>
      </w:r>
      <w:r>
        <w:rPr>
          <w:rFonts w:ascii="Arial" w:eastAsia="MS Mincho" w:hAnsi="Arial" w:cs="Arial"/>
          <w:b/>
          <w:bCs/>
          <w:sz w:val="28"/>
          <w:lang w:eastAsia="ja-JP"/>
        </w:rPr>
        <w:t>October</w:t>
      </w:r>
      <w:r w:rsidR="00395C3F">
        <w:rPr>
          <w:rFonts w:ascii="Arial" w:eastAsia="MS Mincho" w:hAnsi="Arial" w:cs="Arial"/>
          <w:b/>
          <w:bCs/>
          <w:sz w:val="28"/>
          <w:lang w:eastAsia="ja-JP"/>
        </w:rPr>
        <w:t xml:space="preserve"> </w:t>
      </w:r>
      <w:r>
        <w:rPr>
          <w:rFonts w:ascii="Arial" w:eastAsia="MS Mincho" w:hAnsi="Arial" w:cs="Arial"/>
          <w:b/>
          <w:bCs/>
          <w:sz w:val="28"/>
          <w:lang w:eastAsia="ja-JP"/>
        </w:rPr>
        <w:t>14</w:t>
      </w:r>
      <w:r w:rsidR="00AC6325" w:rsidRPr="008F5A33">
        <w:rPr>
          <w:rFonts w:ascii="Arial" w:eastAsia="MS Mincho" w:hAnsi="Arial" w:cs="Arial"/>
          <w:b/>
          <w:bCs/>
          <w:sz w:val="28"/>
          <w:vertAlign w:val="superscript"/>
          <w:lang w:eastAsia="ja-JP"/>
        </w:rPr>
        <w:t>th</w:t>
      </w:r>
      <w:r w:rsidR="00AC6325">
        <w:rPr>
          <w:rFonts w:ascii="Arial" w:eastAsia="MS Mincho" w:hAnsi="Arial" w:cs="Arial"/>
          <w:b/>
          <w:bCs/>
          <w:sz w:val="28"/>
          <w:lang w:eastAsia="ja-JP"/>
        </w:rPr>
        <w:t xml:space="preserve"> – </w:t>
      </w:r>
      <w:r>
        <w:rPr>
          <w:rFonts w:ascii="Arial" w:eastAsia="MS Mincho" w:hAnsi="Arial" w:cs="Arial"/>
          <w:b/>
          <w:bCs/>
          <w:sz w:val="28"/>
          <w:lang w:eastAsia="ja-JP"/>
        </w:rPr>
        <w:t>2</w:t>
      </w:r>
      <w:r w:rsidR="00395C3F">
        <w:rPr>
          <w:rFonts w:ascii="Arial" w:eastAsia="MS Mincho" w:hAnsi="Arial" w:cs="Arial"/>
          <w:b/>
          <w:bCs/>
          <w:sz w:val="28"/>
          <w:lang w:eastAsia="ja-JP"/>
        </w:rPr>
        <w:t>0</w:t>
      </w:r>
      <w:r w:rsidR="00AC6325" w:rsidRPr="00363679">
        <w:rPr>
          <w:rFonts w:ascii="Arial" w:eastAsia="MS Mincho" w:hAnsi="Arial" w:cs="Arial"/>
          <w:b/>
          <w:bCs/>
          <w:sz w:val="28"/>
          <w:vertAlign w:val="superscript"/>
          <w:lang w:eastAsia="ja-JP"/>
        </w:rPr>
        <w:t>th</w:t>
      </w:r>
      <w:r w:rsidR="00AC6325">
        <w:rPr>
          <w:rFonts w:ascii="Arial" w:eastAsia="MS Mincho" w:hAnsi="Arial" w:cs="Arial"/>
          <w:b/>
          <w:bCs/>
          <w:sz w:val="28"/>
          <w:lang w:eastAsia="ja-JP"/>
        </w:rPr>
        <w:t>, 2019</w:t>
      </w:r>
    </w:p>
    <w:p w:rsidR="00E14C58" w:rsidRPr="006517D0" w:rsidRDefault="00E14C58" w:rsidP="00E14C58">
      <w:pPr>
        <w:pStyle w:val="Header"/>
        <w:tabs>
          <w:tab w:val="center" w:pos="4536"/>
          <w:tab w:val="right" w:pos="8280"/>
          <w:tab w:val="right" w:pos="9781"/>
        </w:tabs>
        <w:spacing w:beforeLines="100" w:before="240"/>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C05F2">
        <w:rPr>
          <w:rFonts w:cs="Arial"/>
          <w:bCs/>
          <w:sz w:val="28"/>
          <w:szCs w:val="24"/>
          <w:lang w:val="en-US" w:eastAsia="zh-TW"/>
        </w:rPr>
        <w:t>7.</w:t>
      </w:r>
      <w:r w:rsidR="00F41A78">
        <w:rPr>
          <w:rFonts w:cs="Arial"/>
          <w:bCs/>
          <w:sz w:val="28"/>
          <w:szCs w:val="24"/>
          <w:lang w:val="en-US" w:eastAsia="zh-TW"/>
        </w:rPr>
        <w:t>2</w:t>
      </w:r>
      <w:r w:rsidR="00A551C0" w:rsidRPr="00A551C0">
        <w:rPr>
          <w:rFonts w:cs="Arial"/>
          <w:bCs/>
          <w:sz w:val="28"/>
          <w:szCs w:val="24"/>
          <w:lang w:val="en-US" w:eastAsia="zh-TW"/>
        </w:rPr>
        <w:t>.</w:t>
      </w:r>
      <w:r w:rsidR="00F41A78">
        <w:rPr>
          <w:rFonts w:cs="Arial"/>
          <w:bCs/>
          <w:sz w:val="28"/>
          <w:szCs w:val="24"/>
          <w:lang w:val="en-US" w:eastAsia="zh-TW"/>
        </w:rPr>
        <w:t>14</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AE29DF" w:rsidRDefault="006517D0" w:rsidP="006517D0">
      <w:pPr>
        <w:pStyle w:val="Header"/>
        <w:tabs>
          <w:tab w:val="center" w:pos="4536"/>
          <w:tab w:val="right" w:pos="8280"/>
          <w:tab w:val="right" w:pos="9781"/>
        </w:tabs>
        <w:ind w:left="770" w:right="-58" w:hanging="770"/>
        <w:rPr>
          <w:rFonts w:eastAsiaTheme="minorEastAsia"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F41A78">
        <w:rPr>
          <w:rFonts w:cs="Arial"/>
          <w:bCs/>
          <w:sz w:val="28"/>
          <w:szCs w:val="24"/>
          <w:lang w:val="en-US" w:eastAsia="zh-TW"/>
        </w:rPr>
        <w:t xml:space="preserve">TEI for UE capability on </w:t>
      </w:r>
      <w:r w:rsidR="00F41A78" w:rsidRPr="00F41A78">
        <w:rPr>
          <w:rFonts w:cs="Arial"/>
          <w:bCs/>
          <w:sz w:val="28"/>
          <w:szCs w:val="24"/>
          <w:lang w:val="en-US" w:eastAsia="zh-TW"/>
        </w:rPr>
        <w:t xml:space="preserve">PDCCH monitoring occasions for Case 2 with a span gap </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p>
    <w:p w:rsidR="006517D0" w:rsidRPr="00C10411" w:rsidRDefault="00807D4E" w:rsidP="00807D4E">
      <w:pPr>
        <w:pStyle w:val="Heading1"/>
      </w:pPr>
      <w:r>
        <w:rPr>
          <w:rFonts w:hint="eastAsia"/>
          <w:lang w:eastAsia="zh-TW"/>
        </w:rPr>
        <w:t>Introduction</w:t>
      </w:r>
    </w:p>
    <w:p w:rsidR="003C05F2" w:rsidRPr="001D5E32" w:rsidRDefault="001D5E32" w:rsidP="001D5E32">
      <w:pPr>
        <w:pStyle w:val="Header"/>
        <w:tabs>
          <w:tab w:val="center" w:pos="4536"/>
          <w:tab w:val="right" w:pos="8280"/>
          <w:tab w:val="right" w:pos="9781"/>
        </w:tabs>
        <w:ind w:right="-57"/>
        <w:jc w:val="both"/>
        <w:rPr>
          <w:rFonts w:ascii="Times New Roman" w:hAnsi="Times New Roman"/>
          <w:b w:val="0"/>
          <w:bCs/>
          <w:sz w:val="20"/>
          <w:lang w:eastAsia="zh-TW"/>
        </w:rPr>
      </w:pPr>
      <w:r>
        <w:rPr>
          <w:rFonts w:ascii="Times New Roman" w:hAnsi="Times New Roman"/>
          <w:b w:val="0"/>
          <w:bCs/>
          <w:sz w:val="20"/>
          <w:lang w:val="en-US" w:eastAsia="zh-TW"/>
        </w:rPr>
        <w:t xml:space="preserve">In this contribution, we provide </w:t>
      </w:r>
      <w:r w:rsidR="001E0CB0">
        <w:rPr>
          <w:rFonts w:ascii="Times New Roman" w:hAnsi="Times New Roman"/>
          <w:b w:val="0"/>
          <w:bCs/>
          <w:sz w:val="20"/>
          <w:lang w:val="en-US" w:eastAsia="zh-TW"/>
        </w:rPr>
        <w:t xml:space="preserve">TEI </w:t>
      </w:r>
      <w:r>
        <w:rPr>
          <w:rFonts w:ascii="Times New Roman" w:hAnsi="Times New Roman"/>
          <w:b w:val="0"/>
          <w:bCs/>
          <w:sz w:val="20"/>
          <w:lang w:val="en-US" w:eastAsia="zh-TW"/>
        </w:rPr>
        <w:t xml:space="preserve">proposal </w:t>
      </w:r>
      <w:r w:rsidR="00684B29">
        <w:rPr>
          <w:rFonts w:ascii="Times New Roman" w:hAnsi="Times New Roman"/>
          <w:b w:val="0"/>
          <w:bCs/>
          <w:sz w:val="20"/>
          <w:lang w:val="en-US" w:eastAsia="zh-TW"/>
        </w:rPr>
        <w:t>for</w:t>
      </w:r>
      <w:r>
        <w:rPr>
          <w:rFonts w:ascii="Times New Roman" w:hAnsi="Times New Roman"/>
          <w:b w:val="0"/>
          <w:bCs/>
          <w:sz w:val="20"/>
          <w:lang w:val="en-US" w:eastAsia="zh-TW"/>
        </w:rPr>
        <w:t xml:space="preserve"> </w:t>
      </w:r>
      <w:r w:rsidR="00684B29">
        <w:rPr>
          <w:rFonts w:ascii="Times New Roman" w:hAnsi="Times New Roman"/>
          <w:b w:val="0"/>
          <w:bCs/>
          <w:sz w:val="20"/>
          <w:lang w:val="en-US" w:eastAsia="zh-TW"/>
        </w:rPr>
        <w:t xml:space="preserve">the modification of </w:t>
      </w:r>
      <w:r>
        <w:rPr>
          <w:rFonts w:ascii="Times New Roman" w:hAnsi="Times New Roman"/>
          <w:b w:val="0"/>
          <w:bCs/>
          <w:sz w:val="20"/>
          <w:lang w:val="en-US" w:eastAsia="zh-TW"/>
        </w:rPr>
        <w:t>FG 3-5b</w:t>
      </w:r>
      <w:r w:rsidR="00B5715A">
        <w:rPr>
          <w:rFonts w:ascii="Times New Roman" w:hAnsi="Times New Roman"/>
          <w:b w:val="0"/>
          <w:bCs/>
          <w:sz w:val="20"/>
          <w:lang w:val="en-US" w:eastAsia="zh-TW"/>
        </w:rPr>
        <w:t xml:space="preserve"> for</w:t>
      </w:r>
      <w:r>
        <w:rPr>
          <w:rFonts w:ascii="Times New Roman" w:hAnsi="Times New Roman"/>
          <w:b w:val="0"/>
          <w:bCs/>
          <w:sz w:val="20"/>
          <w:lang w:val="en-US" w:eastAsia="zh-TW"/>
        </w:rPr>
        <w:t xml:space="preserve"> R-15 NR UE feature list.  </w:t>
      </w:r>
    </w:p>
    <w:p w:rsidR="00807D4E" w:rsidRDefault="000D48AF" w:rsidP="007E6C87">
      <w:pPr>
        <w:pStyle w:val="Heading1"/>
        <w:rPr>
          <w:lang w:eastAsia="zh-TW"/>
        </w:rPr>
      </w:pPr>
      <w:r>
        <w:rPr>
          <w:lang w:eastAsia="zh-TW"/>
        </w:rPr>
        <w:t>FG 3-5b</w:t>
      </w:r>
      <w:r w:rsidR="001D5E32">
        <w:rPr>
          <w:lang w:eastAsia="zh-TW"/>
        </w:rPr>
        <w:t xml:space="preserve">: </w:t>
      </w:r>
      <w:r w:rsidR="001D5E32" w:rsidRPr="001D5E32">
        <w:rPr>
          <w:lang w:eastAsia="zh-TW"/>
        </w:rPr>
        <w:t>PDCCH monitoring occasion</w:t>
      </w:r>
      <w:r w:rsidR="001D5E32">
        <w:rPr>
          <w:lang w:eastAsia="zh-TW"/>
        </w:rPr>
        <w:t>s</w:t>
      </w:r>
      <w:r w:rsidR="001D5E32" w:rsidRPr="001D5E32">
        <w:rPr>
          <w:lang w:eastAsia="zh-TW"/>
        </w:rPr>
        <w:t xml:space="preserve"> for Case 2 with a span gap</w:t>
      </w:r>
    </w:p>
    <w:p w:rsidR="000D48AF" w:rsidRPr="00EA172C" w:rsidRDefault="004A3227" w:rsidP="00AE29DF">
      <w:pPr>
        <w:jc w:val="both"/>
      </w:pPr>
      <w:r>
        <w:rPr>
          <w:lang w:eastAsia="zh-TW"/>
        </w:rPr>
        <w:t>T</w:t>
      </w:r>
      <w:r w:rsidR="00AE29DF" w:rsidRPr="00EA172C">
        <w:rPr>
          <w:lang w:eastAsia="zh-TW"/>
        </w:rPr>
        <w:t xml:space="preserve">he </w:t>
      </w:r>
      <w:r>
        <w:rPr>
          <w:lang w:eastAsia="zh-TW"/>
        </w:rPr>
        <w:t xml:space="preserve">current </w:t>
      </w:r>
      <w:r w:rsidR="00AE29DF" w:rsidRPr="00EA172C">
        <w:rPr>
          <w:lang w:eastAsia="zh-TW"/>
        </w:rPr>
        <w:t xml:space="preserve">description of </w:t>
      </w:r>
      <w:r w:rsidR="00AE29DF" w:rsidRPr="00EA172C">
        <w:rPr>
          <w:rFonts w:hint="eastAsia"/>
          <w:lang w:eastAsia="zh-TW"/>
        </w:rPr>
        <w:t>FG 3-5b</w:t>
      </w:r>
      <w:r w:rsidR="00AE29DF" w:rsidRPr="00EA172C">
        <w:t xml:space="preserve"> is difficult</w:t>
      </w:r>
      <w:r>
        <w:t xml:space="preserve"> to</w:t>
      </w:r>
      <w:r w:rsidR="00AE29DF" w:rsidRPr="00EA172C">
        <w:t xml:space="preserve"> achieve in some situation</w:t>
      </w:r>
      <w:r w:rsidR="001B50EE" w:rsidRPr="00EA172C">
        <w:t>s</w:t>
      </w:r>
      <w:r w:rsidR="00AE29DF" w:rsidRPr="00EA172C">
        <w:t xml:space="preserve">. For example, consider </w:t>
      </w:r>
      <w:r w:rsidR="001B50EE" w:rsidRPr="00EA172C">
        <w:t>Table 13-15 of TS 38.213, i.e., t</w:t>
      </w:r>
      <w:r w:rsidR="00AE29DF" w:rsidRPr="00EA172C">
        <w:t xml:space="preserve">he PDCCH monitoring occasions for Type0-PDCCH CSS set where the SS/PBCH block and CORESET multiplexing pattern 3 and {SS/PBCH block, PDCCH} SCS {120, 120} kHz. The </w:t>
      </w:r>
      <w:r>
        <w:t xml:space="preserve">corresponding </w:t>
      </w:r>
      <w:r w:rsidR="00AE29DF" w:rsidRPr="00EA172C">
        <w:t xml:space="preserve">monitoring occasions are depicted in Figure 1. </w:t>
      </w:r>
    </w:p>
    <w:p w:rsidR="00AE29DF" w:rsidRPr="00EA172C" w:rsidRDefault="00ED03F4" w:rsidP="00AE29DF">
      <w:pPr>
        <w:spacing w:after="0"/>
        <w:rPr>
          <w:lang w:val="en-US" w:eastAsia="zh-TW"/>
        </w:rPr>
      </w:pPr>
      <w:r>
        <w:rPr>
          <w:noProof/>
          <w:lang w:val="en-US" w:eastAsia="zh-TW"/>
        </w:rPr>
        <w:drawing>
          <wp:inline distT="0" distB="0" distL="0" distR="0">
            <wp:extent cx="6119495" cy="1805305"/>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9495" cy="1805305"/>
                    </a:xfrm>
                    <a:prstGeom prst="rect">
                      <a:avLst/>
                    </a:prstGeom>
                    <a:noFill/>
                    <a:ln>
                      <a:noFill/>
                    </a:ln>
                  </pic:spPr>
                </pic:pic>
              </a:graphicData>
            </a:graphic>
          </wp:inline>
        </w:drawing>
      </w:r>
    </w:p>
    <w:p w:rsidR="00AE29DF" w:rsidRPr="00EA172C" w:rsidRDefault="00AE29DF" w:rsidP="00AE29DF">
      <w:pPr>
        <w:jc w:val="center"/>
        <w:rPr>
          <w:b/>
        </w:rPr>
      </w:pPr>
      <w:r w:rsidRPr="00EA172C">
        <w:rPr>
          <w:b/>
          <w:lang w:val="en-US" w:eastAsia="zh-TW"/>
        </w:rPr>
        <w:t xml:space="preserve">Figure 1. </w:t>
      </w:r>
      <w:r w:rsidRPr="00EA172C">
        <w:rPr>
          <w:b/>
        </w:rPr>
        <w:t>The PDCCH monitoring occasions in Table 13-15 of TS 38.213</w:t>
      </w:r>
    </w:p>
    <w:p w:rsidR="00ED03F4" w:rsidRDefault="00B771A6" w:rsidP="00AE29DF">
      <w:pPr>
        <w:jc w:val="both"/>
      </w:pPr>
      <w:r>
        <w:t>For the PDCCH monitoring occasions in Figure 1, i</w:t>
      </w:r>
      <w:r w:rsidRPr="00EA172C">
        <w:t>t is difficult to have the same span pattern repeat</w:t>
      </w:r>
      <w:r>
        <w:t>s</w:t>
      </w:r>
      <w:r w:rsidRPr="00EA172C">
        <w:t xml:space="preserve"> in every slot. Specifically,</w:t>
      </w:r>
      <w:r w:rsidRPr="00EA172C">
        <w:rPr>
          <w:lang w:val="en-US" w:eastAsia="zh-TW"/>
        </w:rPr>
        <w:t xml:space="preserve"> </w:t>
      </w:r>
      <w:r>
        <w:rPr>
          <w:lang w:val="en-US" w:eastAsia="zh-TW"/>
        </w:rPr>
        <w:t>we assume, in Figure 1, the CORESET duration is 2 OFDM symbols. T</w:t>
      </w:r>
      <w:r w:rsidRPr="00EA172C">
        <w:t>he favourable SSB</w:t>
      </w:r>
      <w:r>
        <w:t xml:space="preserve"> of a UE in</w:t>
      </w:r>
      <w:r w:rsidRPr="00EA172C">
        <w:t xml:space="preserve"> </w:t>
      </w:r>
      <w:r>
        <w:t>general will vary</w:t>
      </w:r>
      <w:r w:rsidRPr="00ED03F4">
        <w:t xml:space="preserve"> </w:t>
      </w:r>
      <w:r>
        <w:t>due to UE mobility and can be any of the SSBs</w:t>
      </w:r>
      <w:r w:rsidRPr="00ED03F4">
        <w:t>. So, the corresponding PDCCH monitoring occasions for PDCCH Type 0, 0A, and 2 CSS</w:t>
      </w:r>
      <w:r>
        <w:t xml:space="preserve"> and Type 1 CSS without dedicated RRC configuration configured by MIB</w:t>
      </w:r>
      <w:r w:rsidRPr="00ED03F4">
        <w:t xml:space="preserve"> </w:t>
      </w:r>
      <w:r>
        <w:t xml:space="preserve">may happen at OFDM symbols 2 to 9 as shown in Figure 2. </w:t>
      </w:r>
      <w:r w:rsidR="00ED03F4">
        <w:t xml:space="preserve"> </w:t>
      </w:r>
    </w:p>
    <w:p w:rsidR="00ED03F4" w:rsidRDefault="00ED03F4" w:rsidP="00ED03F4">
      <w:pPr>
        <w:spacing w:after="0"/>
        <w:jc w:val="center"/>
      </w:pPr>
      <w:r>
        <w:rPr>
          <w:noProof/>
          <w:lang w:val="en-US" w:eastAsia="zh-TW"/>
        </w:rPr>
        <w:drawing>
          <wp:inline distT="0" distB="0" distL="0" distR="0">
            <wp:extent cx="3130062" cy="42731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34236" cy="455192"/>
                    </a:xfrm>
                    <a:prstGeom prst="rect">
                      <a:avLst/>
                    </a:prstGeom>
                    <a:noFill/>
                    <a:ln>
                      <a:noFill/>
                    </a:ln>
                  </pic:spPr>
                </pic:pic>
              </a:graphicData>
            </a:graphic>
          </wp:inline>
        </w:drawing>
      </w:r>
    </w:p>
    <w:p w:rsidR="00ED03F4" w:rsidRPr="00EA172C" w:rsidRDefault="00ED03F4" w:rsidP="00ED03F4">
      <w:pPr>
        <w:jc w:val="center"/>
        <w:rPr>
          <w:b/>
        </w:rPr>
      </w:pPr>
      <w:r w:rsidRPr="00EA172C">
        <w:rPr>
          <w:b/>
          <w:lang w:val="en-US" w:eastAsia="zh-TW"/>
        </w:rPr>
        <w:t xml:space="preserve">Figure </w:t>
      </w:r>
      <w:r>
        <w:rPr>
          <w:b/>
          <w:lang w:val="en-US" w:eastAsia="zh-TW"/>
        </w:rPr>
        <w:t>2</w:t>
      </w:r>
      <w:r w:rsidRPr="00EA172C">
        <w:rPr>
          <w:b/>
          <w:lang w:val="en-US" w:eastAsia="zh-TW"/>
        </w:rPr>
        <w:t xml:space="preserve">. </w:t>
      </w:r>
      <w:r>
        <w:rPr>
          <w:b/>
        </w:rPr>
        <w:t>Pattern of PDCCH monitoring occasions f</w:t>
      </w:r>
      <w:r w:rsidRPr="00ED03F4">
        <w:rPr>
          <w:b/>
        </w:rPr>
        <w:t xml:space="preserve">or PDCCH Type 0, 0A, 2 CSS </w:t>
      </w:r>
      <w:r w:rsidR="00B5715A">
        <w:rPr>
          <w:b/>
        </w:rPr>
        <w:t xml:space="preserve">and Type 1 CSS without dedicated RRC configuration </w:t>
      </w:r>
      <w:r w:rsidRPr="00ED03F4">
        <w:rPr>
          <w:b/>
        </w:rPr>
        <w:t>configured by MIB</w:t>
      </w:r>
    </w:p>
    <w:p w:rsidR="00FD7DC7" w:rsidRDefault="00FD7DC7" w:rsidP="00FD7DC7">
      <w:pPr>
        <w:spacing w:after="60"/>
        <w:jc w:val="both"/>
      </w:pPr>
      <w:r>
        <w:t>According to the following requirements of a span</w:t>
      </w:r>
    </w:p>
    <w:p w:rsidR="00FD7DC7" w:rsidRPr="00F746FF" w:rsidRDefault="00FD7DC7" w:rsidP="00FD7DC7">
      <w:pPr>
        <w:pStyle w:val="ListParagraph"/>
        <w:numPr>
          <w:ilvl w:val="0"/>
          <w:numId w:val="23"/>
        </w:numPr>
        <w:spacing w:before="60" w:after="60"/>
        <w:ind w:left="567" w:hanging="283"/>
        <w:jc w:val="both"/>
        <w:rPr>
          <w:lang w:val="en-US"/>
        </w:rPr>
      </w:pPr>
      <w:r w:rsidRPr="00F746FF">
        <w:rPr>
          <w:lang w:val="en-US"/>
        </w:rPr>
        <w:t xml:space="preserve">Spans do not overlap </w:t>
      </w:r>
    </w:p>
    <w:p w:rsidR="00FD7DC7" w:rsidRPr="00F746FF" w:rsidRDefault="00FD7DC7" w:rsidP="00FD7DC7">
      <w:pPr>
        <w:pStyle w:val="ListParagraph"/>
        <w:numPr>
          <w:ilvl w:val="0"/>
          <w:numId w:val="23"/>
        </w:numPr>
        <w:spacing w:before="60" w:after="60"/>
        <w:ind w:left="567" w:hanging="283"/>
        <w:jc w:val="both"/>
        <w:rPr>
          <w:lang w:val="en-US"/>
        </w:rPr>
      </w:pPr>
      <w:r w:rsidRPr="00F746FF">
        <w:rPr>
          <w:lang w:val="en-US"/>
        </w:rPr>
        <w:t>Every span is contained in a single slot</w:t>
      </w:r>
      <w:r>
        <w:rPr>
          <w:lang w:val="en-US"/>
        </w:rPr>
        <w:t xml:space="preserve"> </w:t>
      </w:r>
    </w:p>
    <w:p w:rsidR="00FD7DC7" w:rsidRPr="00F746FF" w:rsidRDefault="00FD7DC7" w:rsidP="00FD7DC7">
      <w:pPr>
        <w:pStyle w:val="ListParagraph"/>
        <w:numPr>
          <w:ilvl w:val="0"/>
          <w:numId w:val="23"/>
        </w:numPr>
        <w:spacing w:before="60" w:after="60"/>
        <w:ind w:left="567" w:hanging="283"/>
        <w:jc w:val="both"/>
      </w:pPr>
      <w:r w:rsidRPr="00F746FF">
        <w:rPr>
          <w:lang w:val="en-US"/>
        </w:rPr>
        <w:t xml:space="preserve">The same span pattern repeats in every slot </w:t>
      </w:r>
    </w:p>
    <w:p w:rsidR="00FD7DC7" w:rsidRPr="003B7E00" w:rsidRDefault="00FD7DC7" w:rsidP="00FD7DC7">
      <w:pPr>
        <w:pStyle w:val="ListParagraph"/>
        <w:numPr>
          <w:ilvl w:val="0"/>
          <w:numId w:val="23"/>
        </w:numPr>
        <w:spacing w:before="60" w:after="60"/>
        <w:ind w:left="567" w:hanging="283"/>
        <w:jc w:val="both"/>
      </w:pPr>
      <w:r>
        <w:rPr>
          <w:lang w:val="en-US"/>
        </w:rPr>
        <w:t>T</w:t>
      </w:r>
      <w:r w:rsidRPr="00F746FF">
        <w:rPr>
          <w:lang w:val="en-US"/>
        </w:rPr>
        <w:t>he separation between consecutive spans within and across slots may be unequal but the same (X, Y) limit must be satisfied by all spans</w:t>
      </w:r>
    </w:p>
    <w:p w:rsidR="00FD7DC7" w:rsidRPr="00F746FF" w:rsidRDefault="00FD7DC7" w:rsidP="00FD7DC7">
      <w:pPr>
        <w:pStyle w:val="ListParagraph"/>
        <w:numPr>
          <w:ilvl w:val="0"/>
          <w:numId w:val="23"/>
        </w:numPr>
        <w:spacing w:before="60" w:after="60"/>
        <w:ind w:left="567" w:hanging="283"/>
        <w:jc w:val="both"/>
      </w:pPr>
      <w:r w:rsidRPr="003B7E00">
        <w:rPr>
          <w:lang w:val="en-US"/>
        </w:rPr>
        <w:lastRenderedPageBreak/>
        <w:t>The span duration is max{maximum value of all CORESET durations, minimum value of Y in the UE reported candidate value} except possibly the last span in a slot which can be of shorter duration</w:t>
      </w:r>
      <w:r w:rsidRPr="00F746FF">
        <w:rPr>
          <w:lang w:val="en-US"/>
        </w:rPr>
        <w:t xml:space="preserve"> </w:t>
      </w:r>
    </w:p>
    <w:p w:rsidR="00FD7DC7" w:rsidRDefault="00FD7DC7" w:rsidP="00FD7DC7">
      <w:pPr>
        <w:spacing w:before="60" w:after="60"/>
        <w:jc w:val="both"/>
      </w:pPr>
      <w:r>
        <w:t xml:space="preserve">for Figure 2, (X, Y) must be (2, 2); (X, Y) of (4, 3) and (7, 3) do not meet the requirements. Thus, only when </w:t>
      </w:r>
    </w:p>
    <w:p w:rsidR="00FD7DC7" w:rsidRDefault="00FD7DC7" w:rsidP="00FD7DC7">
      <w:pPr>
        <w:pStyle w:val="ListParagraph"/>
        <w:numPr>
          <w:ilvl w:val="0"/>
          <w:numId w:val="23"/>
        </w:numPr>
        <w:spacing w:before="60" w:after="60"/>
        <w:ind w:left="567" w:hanging="283"/>
        <w:jc w:val="both"/>
      </w:pPr>
      <w:r>
        <w:t xml:space="preserve">a UE </w:t>
      </w:r>
      <w:r w:rsidRPr="003B7E00">
        <w:rPr>
          <w:lang w:val="en-US"/>
        </w:rPr>
        <w:t>supports</w:t>
      </w:r>
      <w:r>
        <w:t xml:space="preserve"> (X, Y)=(2, 2), and </w:t>
      </w:r>
      <w:bookmarkStart w:id="2" w:name="_GoBack"/>
      <w:bookmarkEnd w:id="2"/>
    </w:p>
    <w:p w:rsidR="00FD7DC7" w:rsidRDefault="00FD7DC7" w:rsidP="00FD7DC7">
      <w:pPr>
        <w:pStyle w:val="ListParagraph"/>
        <w:numPr>
          <w:ilvl w:val="0"/>
          <w:numId w:val="23"/>
        </w:numPr>
        <w:spacing w:before="60" w:after="60"/>
        <w:ind w:left="567" w:hanging="283"/>
        <w:jc w:val="both"/>
      </w:pPr>
      <w:r>
        <w:t xml:space="preserve">the </w:t>
      </w:r>
      <w:r w:rsidRPr="003B7E00">
        <w:rPr>
          <w:lang w:val="en-US"/>
        </w:rPr>
        <w:t>maximum value of all CORESET durations</w:t>
      </w:r>
      <w:r>
        <w:rPr>
          <w:lang w:val="en-US"/>
        </w:rPr>
        <w:t xml:space="preserve"> is 2</w:t>
      </w:r>
      <w:r w:rsidR="00B771A6">
        <w:rPr>
          <w:lang w:val="en-US"/>
        </w:rPr>
        <w:t xml:space="preserve"> (</w:t>
      </w:r>
      <w:r w:rsidR="00B771A6">
        <w:rPr>
          <w:lang w:val="en-US"/>
        </w:rPr>
        <w:t>due to the definition of span duration)</w:t>
      </w:r>
      <w:r>
        <w:t xml:space="preserve">, </w:t>
      </w:r>
    </w:p>
    <w:p w:rsidR="00FD7DC7" w:rsidRDefault="00FD7DC7" w:rsidP="00FD7DC7">
      <w:pPr>
        <w:spacing w:before="60" w:after="120"/>
        <w:ind w:left="284" w:hanging="284"/>
        <w:jc w:val="both"/>
      </w:pPr>
      <w:r>
        <w:t xml:space="preserve">there is a room for monitoring occasions of PDCCH Case 2. </w:t>
      </w:r>
    </w:p>
    <w:p w:rsidR="00FD7DC7" w:rsidRDefault="00FD7DC7" w:rsidP="00FD7DC7">
      <w:pPr>
        <w:spacing w:after="120"/>
        <w:jc w:val="both"/>
      </w:pPr>
      <w:r w:rsidRPr="00EA172C">
        <w:t xml:space="preserve">To get rid of this issue, it is proposed </w:t>
      </w:r>
      <w:r w:rsidR="00DF472D">
        <w:t>neglect</w:t>
      </w:r>
      <w:r>
        <w:t xml:space="preserve">ing monitoring occasions of PDCCH Type 0, 0A, 2 CSS and Type 1 CSS without dedicated RRC configuration when determining a span pattern. </w:t>
      </w:r>
    </w:p>
    <w:p w:rsidR="001B50EE" w:rsidRPr="00EA172C" w:rsidRDefault="00FD7DC7" w:rsidP="00FD7DC7">
      <w:pPr>
        <w:jc w:val="both"/>
      </w:pPr>
      <w:r w:rsidRPr="00EA172C">
        <w:t>Our proposal is given as follows</w:t>
      </w:r>
      <w:r>
        <w:t xml:space="preserve">, where the </w:t>
      </w:r>
      <w:r w:rsidRPr="005E2047">
        <w:rPr>
          <w:highlight w:val="yellow"/>
        </w:rPr>
        <w:t>yellow parts</w:t>
      </w:r>
      <w:r>
        <w:t xml:space="preserve"> correspond to changes with respect to </w:t>
      </w:r>
      <w:r w:rsidRPr="00FB6BD6">
        <w:t>index 3-</w:t>
      </w:r>
      <w:r>
        <w:t>5b</w:t>
      </w:r>
      <w:r w:rsidRPr="00FB6BD6">
        <w:t xml:space="preserve"> of Table 4.1-1 in TR 38.822</w:t>
      </w:r>
      <w:r w:rsidRPr="00EA172C">
        <w:t>.</w:t>
      </w:r>
      <w:r>
        <w:t xml:space="preserve"> </w:t>
      </w:r>
      <w:r w:rsidR="00F746FF">
        <w:t xml:space="preserve"> </w:t>
      </w:r>
    </w:p>
    <w:p w:rsidR="00747722" w:rsidRDefault="001B50EE" w:rsidP="00B027B5">
      <w:pPr>
        <w:rPr>
          <w:rFonts w:eastAsia="Yu Mincho"/>
          <w:b/>
          <w:lang w:val="en-US" w:eastAsia="ja-JP"/>
        </w:rPr>
      </w:pPr>
      <w:r w:rsidRPr="00EA172C">
        <w:rPr>
          <w:b/>
          <w:lang w:eastAsia="zh-TW"/>
        </w:rPr>
        <w:t xml:space="preserve">Proposal #1: </w:t>
      </w:r>
      <w:r w:rsidR="001E0CB0">
        <w:rPr>
          <w:rFonts w:eastAsia="Yu Mincho"/>
          <w:b/>
          <w:lang w:val="en-US" w:eastAsia="ja-JP"/>
        </w:rPr>
        <w:t>M</w:t>
      </w:r>
      <w:r w:rsidR="00FB6BD6" w:rsidRPr="00FB6BD6">
        <w:rPr>
          <w:rFonts w:eastAsia="Yu Mincho"/>
          <w:b/>
          <w:lang w:val="en-US" w:eastAsia="ja-JP"/>
        </w:rPr>
        <w:t xml:space="preserve">ake the following change on UE capability parameter </w:t>
      </w:r>
      <w:r w:rsidR="00FB6BD6" w:rsidRPr="00FB6BD6">
        <w:rPr>
          <w:rFonts w:eastAsia="Yu Mincho"/>
          <w:b/>
          <w:i/>
          <w:iCs/>
          <w:lang w:val="en-US" w:eastAsia="ja-JP"/>
        </w:rPr>
        <w:t>pdcch-MonitoringAnyOccasionsWithSpanGap</w:t>
      </w:r>
      <w:r w:rsidR="00FB6BD6" w:rsidRPr="00FB6BD6">
        <w:rPr>
          <w:rFonts w:eastAsia="Yu Mincho"/>
          <w:b/>
          <w:lang w:val="en-US" w:eastAsia="ja-JP"/>
        </w:rPr>
        <w:t xml:space="preserve"> in TS38.306.</w:t>
      </w:r>
      <w:bookmarkEnd w:id="0"/>
      <w:bookmarkEnd w:id="1"/>
    </w:p>
    <w:tbl>
      <w:tblPr>
        <w:tblStyle w:val="TableGrid"/>
        <w:tblW w:w="0" w:type="auto"/>
        <w:tblLook w:val="04A0" w:firstRow="1" w:lastRow="0" w:firstColumn="1" w:lastColumn="0" w:noHBand="0" w:noVBand="1"/>
      </w:tblPr>
      <w:tblGrid>
        <w:gridCol w:w="9631"/>
      </w:tblGrid>
      <w:tr w:rsidR="00B027B5" w:rsidRPr="00572244" w:rsidTr="00EB654E">
        <w:tc>
          <w:tcPr>
            <w:tcW w:w="9631" w:type="dxa"/>
          </w:tcPr>
          <w:p w:rsidR="00B027B5" w:rsidRPr="00572244" w:rsidRDefault="00B027B5" w:rsidP="00EB654E">
            <w:pPr>
              <w:rPr>
                <w:rFonts w:ascii="Times" w:hAnsi="Times" w:cs="Times"/>
                <w:lang w:val="en-US" w:eastAsia="ja-JP"/>
              </w:rPr>
            </w:pPr>
            <w:r w:rsidRPr="00572244">
              <w:rPr>
                <w:rFonts w:hint="eastAsia"/>
                <w:b/>
                <w:bCs/>
                <w:i/>
                <w:iCs/>
                <w:lang w:eastAsia="ja-JP"/>
              </w:rPr>
              <w:t>pdcch-MonitoringAnyOccasionsWithSpanGap</w:t>
            </w:r>
          </w:p>
          <w:p w:rsidR="001E0CB0" w:rsidRPr="003B7E00" w:rsidRDefault="001E0CB0" w:rsidP="001E0CB0">
            <w:pPr>
              <w:spacing w:after="0"/>
              <w:jc w:val="both"/>
              <w:rPr>
                <w:rFonts w:eastAsia="Yu Gothic"/>
                <w:color w:val="FF0000"/>
                <w:u w:val="single"/>
                <w:lang w:val="en-US" w:eastAsia="ja-JP"/>
              </w:rPr>
            </w:pPr>
            <w:r w:rsidRPr="003B7E00">
              <w:rPr>
                <w:rFonts w:eastAsia="Yu Gothic"/>
                <w:color w:val="000000"/>
                <w:lang w:val="en-US" w:eastAsia="ja-JP"/>
              </w:rPr>
              <w:t xml:space="preserve">Indicates whether the UE supports PDCCH search space monitoring occasions in any symbol of the slot with minimum time separation </w:t>
            </w:r>
            <w:r w:rsidRPr="003B7E00">
              <w:rPr>
                <w:rFonts w:eastAsia="Yu Gothic"/>
                <w:color w:val="FF0000"/>
                <w:u w:val="single"/>
                <w:lang w:val="en-US" w:eastAsia="ja-JP"/>
              </w:rPr>
              <w:t xml:space="preserve">(including the cross-slot boundary case) </w:t>
            </w:r>
            <w:r w:rsidRPr="003B7E00">
              <w:rPr>
                <w:rFonts w:eastAsia="Yu Gothic"/>
                <w:color w:val="000000"/>
                <w:lang w:val="en-US" w:eastAsia="ja-JP"/>
              </w:rPr>
              <w:t xml:space="preserve">between two </w:t>
            </w:r>
            <w:r w:rsidRPr="003B7E00">
              <w:rPr>
                <w:rFonts w:eastAsia="Yu Gothic"/>
                <w:strike/>
                <w:color w:val="FF0000"/>
                <w:lang w:val="en-US" w:eastAsia="ja-JP"/>
              </w:rPr>
              <w:t xml:space="preserve">consecutive </w:t>
            </w:r>
            <w:r w:rsidRPr="003B7E00">
              <w:rPr>
                <w:rFonts w:eastAsia="Yu Gothic"/>
                <w:color w:val="000000"/>
                <w:lang w:val="en-US" w:eastAsia="ja-JP"/>
              </w:rPr>
              <w:t xml:space="preserve">transmissions of PDCCH </w:t>
            </w:r>
            <w:r w:rsidRPr="003B7E00">
              <w:rPr>
                <w:rFonts w:eastAsia="Yu Gothic"/>
                <w:color w:val="FF0000"/>
                <w:u w:val="single"/>
                <w:lang w:val="en-US" w:eastAsia="ja-JP"/>
              </w:rPr>
              <w:t xml:space="preserve">belonging to different spans, where at least one of them is not the monitoring occasions belonging to index 3-1 of Table 4.1-1 in TR 38.822, in same or different search spaces, </w:t>
            </w:r>
            <w:r w:rsidRPr="003B7E00">
              <w:rPr>
                <w:rFonts w:eastAsia="Yu Gothic"/>
                <w:color w:val="000000"/>
                <w:lang w:val="en-US" w:eastAsia="ja-JP"/>
              </w:rPr>
              <w:t xml:space="preserve">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 </w:t>
            </w:r>
            <w:r w:rsidRPr="003B7E00">
              <w:rPr>
                <w:rFonts w:eastAsia="Yu Gothic"/>
                <w:color w:val="FF0000"/>
                <w:u w:val="single"/>
                <w:lang w:val="en-US" w:eastAsia="ja-JP"/>
              </w:rPr>
              <w:t xml:space="preserve">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w:t>
            </w:r>
            <w:r w:rsidRPr="003B7E00">
              <w:rPr>
                <w:rFonts w:eastAsia="Yu Gothic"/>
                <w:color w:val="FF0000"/>
                <w:highlight w:val="yellow"/>
                <w:u w:val="single"/>
                <w:lang w:val="en-US" w:eastAsia="ja-JP"/>
              </w:rPr>
              <w:t>for any PDCCH except for Type 0, 0A, 2 CSS and 1 CSS without dedicated RRC configuration</w:t>
            </w:r>
            <w:r w:rsidRPr="003B7E00">
              <w:rPr>
                <w:rFonts w:eastAsia="Yu Gothic"/>
                <w:color w:val="FF0000"/>
                <w:u w:val="single"/>
                <w:lang w:val="en-US" w:eastAsia="ja-JP"/>
              </w:rPr>
              <w:t>,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 For the set of monitoring occasions which are within the same span:</w:t>
            </w:r>
          </w:p>
          <w:p w:rsidR="001E0CB0" w:rsidRPr="003B7E00" w:rsidRDefault="001E0CB0" w:rsidP="001E0CB0">
            <w:pPr>
              <w:numPr>
                <w:ilvl w:val="0"/>
                <w:numId w:val="25"/>
              </w:numPr>
              <w:spacing w:after="0"/>
              <w:jc w:val="both"/>
              <w:rPr>
                <w:rFonts w:eastAsia="Yu Gothic"/>
                <w:color w:val="FF0000"/>
                <w:u w:val="single"/>
                <w:lang w:val="en-US" w:eastAsia="ja-JP"/>
              </w:rPr>
            </w:pPr>
            <w:r w:rsidRPr="003B7E00">
              <w:rPr>
                <w:rFonts w:eastAsia="Yu Gothic"/>
                <w:color w:val="FF0000"/>
                <w:u w:val="single"/>
                <w:lang w:val="en-US" w:eastAsia="ja-JP"/>
              </w:rPr>
              <w:t>Processing one unicast DCI scheduling DL and one unicast DCI scheduling UL per scheduled CC across this set of monitoring occasions for FDD</w:t>
            </w:r>
          </w:p>
          <w:p w:rsidR="001E0CB0" w:rsidRPr="003B7E00" w:rsidRDefault="001E0CB0" w:rsidP="001E0CB0">
            <w:pPr>
              <w:numPr>
                <w:ilvl w:val="0"/>
                <w:numId w:val="25"/>
              </w:numPr>
              <w:spacing w:after="0"/>
              <w:jc w:val="both"/>
              <w:rPr>
                <w:rFonts w:eastAsia="Yu Gothic"/>
                <w:color w:val="FF0000"/>
                <w:u w:val="single"/>
                <w:lang w:val="en-US" w:eastAsia="ja-JP"/>
              </w:rPr>
            </w:pPr>
            <w:r w:rsidRPr="003B7E00">
              <w:rPr>
                <w:rFonts w:eastAsia="Yu Gothic"/>
                <w:color w:val="FF0000"/>
                <w:u w:val="single"/>
                <w:lang w:val="en-US" w:eastAsia="ja-JP"/>
              </w:rPr>
              <w:t>Processing one unicast DCI scheduling DL and two unicast DCI scheduling UL per scheduled CC across this set of monitoring occasions for TDD</w:t>
            </w:r>
          </w:p>
          <w:p w:rsidR="001E0CB0" w:rsidRPr="003B7E00" w:rsidRDefault="001E0CB0" w:rsidP="001E0CB0">
            <w:pPr>
              <w:numPr>
                <w:ilvl w:val="0"/>
                <w:numId w:val="25"/>
              </w:numPr>
              <w:spacing w:after="0"/>
              <w:jc w:val="both"/>
              <w:rPr>
                <w:rFonts w:eastAsia="Yu Gothic"/>
                <w:color w:val="FF0000"/>
                <w:u w:val="single"/>
                <w:lang w:val="en-US" w:eastAsia="ja-JP"/>
              </w:rPr>
            </w:pPr>
            <w:r w:rsidRPr="003B7E00">
              <w:rPr>
                <w:rFonts w:eastAsia="Yu Gothic"/>
                <w:color w:val="FF0000"/>
                <w:u w:val="single"/>
                <w:lang w:val="en-US" w:eastAsia="ja-JP"/>
              </w:rPr>
              <w:t>Processing two unicast DCI scheduling DL and one unicast DCI scheduling UL per scheduled CC across this set of monitoring occasions for TDD</w:t>
            </w:r>
          </w:p>
          <w:p w:rsidR="001E0CB0" w:rsidRPr="003B7E00" w:rsidRDefault="001E0CB0" w:rsidP="001E0CB0">
            <w:pPr>
              <w:spacing w:after="0"/>
              <w:jc w:val="both"/>
              <w:rPr>
                <w:rFonts w:eastAsia="Yu Gothic"/>
                <w:color w:val="FF0000"/>
                <w:highlight w:val="yellow"/>
                <w:u w:val="single"/>
                <w:lang w:val="en-US" w:eastAsia="ja-JP"/>
              </w:rPr>
            </w:pPr>
            <w:r w:rsidRPr="003B7E00">
              <w:rPr>
                <w:rFonts w:eastAsia="Yu Gothic"/>
                <w:color w:val="FF0000"/>
                <w:highlight w:val="yellow"/>
                <w:u w:val="single"/>
                <w:lang w:val="en-US" w:eastAsia="ja-JP"/>
              </w:rPr>
              <w:t>The number of different start symbol indices of spans per slot is denoted as A1 (Note 1). If any symbol in the monitoring occasion of PDCCH Type 0, 0A, 2 CSS and 1 CSS without dedicated RRC configuration does not overlap with a span, A2 is 1; otherwise, A2 is 0 (Note 2). The sum of A1 and A2 is no more than floor(14/X) (X is minimum in the value set supported by the UE).</w:t>
            </w:r>
            <w:r w:rsidRPr="003B7E00">
              <w:rPr>
                <w:rFonts w:eastAsia="Yu Gothic"/>
                <w:color w:val="FF0000"/>
                <w:u w:val="single"/>
                <w:lang w:val="en-US" w:eastAsia="ja-JP"/>
              </w:rPr>
              <w:t xml:space="preserve"> The number of different start symbol indices of PDCCH monitoring occasions per slot including PDCCH monitoring occasions belonging to index 3-1 of Table 4.1-1 in TR 38.822, is no more than 7. The number of different start symbol indices of PDCCH monitoring occasions per half-slot including PDCCH monitoring occasions</w:t>
            </w:r>
            <w:r w:rsidRPr="003B7E00">
              <w:rPr>
                <w:rFonts w:eastAsia="Yu Gothic"/>
                <w:color w:val="FF0000"/>
                <w:u w:val="single"/>
                <w:lang w:val="en-US" w:eastAsia="zh-TW"/>
              </w:rPr>
              <w:t xml:space="preserve"> </w:t>
            </w:r>
            <w:r w:rsidRPr="003B7E00">
              <w:rPr>
                <w:rFonts w:eastAsia="Yu Gothic"/>
                <w:color w:val="FF0000"/>
                <w:u w:val="single"/>
                <w:lang w:val="en-US" w:eastAsia="ja-JP"/>
              </w:rPr>
              <w:t>belonging to index 3-1 of Table 4.1-1 in TR 38.822 is no more than 4 in SCell.</w:t>
            </w:r>
          </w:p>
          <w:p w:rsidR="001E0CB0" w:rsidRPr="003B7E00" w:rsidRDefault="001E0CB0" w:rsidP="001E0CB0">
            <w:pPr>
              <w:spacing w:after="0"/>
              <w:jc w:val="both"/>
              <w:rPr>
                <w:rFonts w:eastAsia="Yu Gothic"/>
                <w:color w:val="FF0000"/>
                <w:highlight w:val="yellow"/>
                <w:u w:val="single"/>
                <w:lang w:val="en-US" w:eastAsia="ja-JP"/>
              </w:rPr>
            </w:pPr>
          </w:p>
          <w:p w:rsidR="001E0CB0" w:rsidRPr="003B7E00" w:rsidRDefault="001E0CB0" w:rsidP="001E0CB0">
            <w:pPr>
              <w:spacing w:after="0"/>
              <w:jc w:val="both"/>
              <w:rPr>
                <w:rFonts w:eastAsia="Yu Gothic"/>
                <w:color w:val="FF0000"/>
                <w:highlight w:val="yellow"/>
                <w:u w:val="single"/>
                <w:lang w:val="en-US" w:eastAsia="ja-JP"/>
              </w:rPr>
            </w:pPr>
            <w:r w:rsidRPr="003B7E00">
              <w:rPr>
                <w:rFonts w:eastAsia="Yu Gothic"/>
                <w:color w:val="FF0000"/>
                <w:highlight w:val="yellow"/>
                <w:u w:val="single"/>
                <w:lang w:val="en-US" w:eastAsia="ja-JP"/>
              </w:rPr>
              <w:t>Note 1: Monitoring occasions of PDCCH Type 0, 0A, 2 CSS and 1 CSS without dedicated RRC configuration are not considered in counting A1. Monitoring occasions of PDCCH belonging to index 3-1 of Table 4.1-1 in TR 38.822 other than those for PDCCH Type 0, 0A, 2 CSS and 1 CSS without dedicated RRC configuration are considered in counting A1.</w:t>
            </w:r>
          </w:p>
          <w:p w:rsidR="001E0CB0" w:rsidRPr="003B7E00" w:rsidRDefault="001E0CB0" w:rsidP="001E0CB0">
            <w:pPr>
              <w:spacing w:after="0"/>
              <w:jc w:val="both"/>
              <w:rPr>
                <w:rFonts w:eastAsia="Yu Gothic"/>
                <w:color w:val="FF0000"/>
                <w:highlight w:val="yellow"/>
                <w:u w:val="single"/>
                <w:lang w:val="en-US" w:eastAsia="ja-JP"/>
              </w:rPr>
            </w:pPr>
          </w:p>
          <w:p w:rsidR="00B027B5" w:rsidRPr="00572244" w:rsidRDefault="001E0CB0" w:rsidP="001E0CB0">
            <w:pPr>
              <w:rPr>
                <w:b/>
                <w:lang w:eastAsia="zh-TW"/>
              </w:rPr>
            </w:pPr>
            <w:r w:rsidRPr="003B7E00">
              <w:rPr>
                <w:rFonts w:eastAsia="Yu Gothic"/>
                <w:color w:val="FF0000"/>
                <w:highlight w:val="yellow"/>
                <w:u w:val="single"/>
                <w:lang w:val="en-US" w:eastAsia="ja-JP"/>
              </w:rPr>
              <w:t>Note 2: Monitoring occasions of PDCCH Type 0, 0A, 2 CSS and 1 CSS without dedicated RRC does not necessarily repeat in every slot.</w:t>
            </w:r>
          </w:p>
        </w:tc>
      </w:tr>
    </w:tbl>
    <w:p w:rsidR="00B027B5" w:rsidRPr="00747722" w:rsidRDefault="00B027B5" w:rsidP="00B027B5">
      <w:pPr>
        <w:rPr>
          <w:lang w:eastAsia="zh-TW"/>
        </w:rPr>
      </w:pPr>
    </w:p>
    <w:sectPr w:rsidR="00B027B5" w:rsidRPr="007477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0E9E" w:rsidRDefault="00580E9E">
      <w:r>
        <w:separator/>
      </w:r>
    </w:p>
  </w:endnote>
  <w:endnote w:type="continuationSeparator" w:id="0">
    <w:p w:rsidR="00580E9E" w:rsidRDefault="00580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0E9E" w:rsidRDefault="00580E9E">
      <w:r>
        <w:separator/>
      </w:r>
    </w:p>
  </w:footnote>
  <w:footnote w:type="continuationSeparator" w:id="0">
    <w:p w:rsidR="00580E9E" w:rsidRDefault="00580E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F6150"/>
    <w:multiLevelType w:val="hybridMultilevel"/>
    <w:tmpl w:val="FFE82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A71F5"/>
    <w:multiLevelType w:val="hybridMultilevel"/>
    <w:tmpl w:val="22AC8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8716B"/>
    <w:multiLevelType w:val="hybridMultilevel"/>
    <w:tmpl w:val="B9521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64790"/>
    <w:multiLevelType w:val="hybridMultilevel"/>
    <w:tmpl w:val="A14C7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92947"/>
    <w:multiLevelType w:val="hybridMultilevel"/>
    <w:tmpl w:val="A2D44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AC3CB5"/>
    <w:multiLevelType w:val="hybridMultilevel"/>
    <w:tmpl w:val="6D6C2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073C80"/>
    <w:multiLevelType w:val="hybridMultilevel"/>
    <w:tmpl w:val="87A41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F72A9D"/>
    <w:multiLevelType w:val="hybridMultilevel"/>
    <w:tmpl w:val="1022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8C1695"/>
    <w:multiLevelType w:val="hybridMultilevel"/>
    <w:tmpl w:val="C7B64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66A1BC7"/>
    <w:multiLevelType w:val="multilevel"/>
    <w:tmpl w:val="AEFC7EF2"/>
    <w:lvl w:ilvl="0">
      <w:start w:val="1"/>
      <w:numFmt w:val="decimal"/>
      <w:pStyle w:val="Heading1"/>
      <w:lvlText w:val="%1"/>
      <w:lvlJc w:val="left"/>
      <w:pPr>
        <w:tabs>
          <w:tab w:val="num" w:pos="432"/>
        </w:tabs>
        <w:ind w:left="432" w:hanging="432"/>
      </w:pPr>
      <w:rPr>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49697F9A"/>
    <w:multiLevelType w:val="hybridMultilevel"/>
    <w:tmpl w:val="1AA203DA"/>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9B2736E"/>
    <w:multiLevelType w:val="hybridMultilevel"/>
    <w:tmpl w:val="209EB43C"/>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CF41062"/>
    <w:multiLevelType w:val="hybridMultilevel"/>
    <w:tmpl w:val="620E0FC2"/>
    <w:lvl w:ilvl="0" w:tplc="07D6D568">
      <w:start w:val="1"/>
      <w:numFmt w:val="bullet"/>
      <w:lvlText w:val="•"/>
      <w:lvlJc w:val="left"/>
      <w:pPr>
        <w:tabs>
          <w:tab w:val="num" w:pos="720"/>
        </w:tabs>
        <w:ind w:left="720" w:hanging="360"/>
      </w:pPr>
      <w:rPr>
        <w:rFonts w:ascii="Arial" w:hAnsi="Arial" w:hint="default"/>
      </w:rPr>
    </w:lvl>
    <w:lvl w:ilvl="1" w:tplc="A8C4DC8E" w:tentative="1">
      <w:start w:val="1"/>
      <w:numFmt w:val="bullet"/>
      <w:lvlText w:val="•"/>
      <w:lvlJc w:val="left"/>
      <w:pPr>
        <w:tabs>
          <w:tab w:val="num" w:pos="1440"/>
        </w:tabs>
        <w:ind w:left="1440" w:hanging="360"/>
      </w:pPr>
      <w:rPr>
        <w:rFonts w:ascii="Arial" w:hAnsi="Arial" w:hint="default"/>
      </w:rPr>
    </w:lvl>
    <w:lvl w:ilvl="2" w:tplc="CFE2BCA2" w:tentative="1">
      <w:start w:val="1"/>
      <w:numFmt w:val="bullet"/>
      <w:lvlText w:val="•"/>
      <w:lvlJc w:val="left"/>
      <w:pPr>
        <w:tabs>
          <w:tab w:val="num" w:pos="2160"/>
        </w:tabs>
        <w:ind w:left="2160" w:hanging="360"/>
      </w:pPr>
      <w:rPr>
        <w:rFonts w:ascii="Arial" w:hAnsi="Arial" w:hint="default"/>
      </w:rPr>
    </w:lvl>
    <w:lvl w:ilvl="3" w:tplc="2710F1E2" w:tentative="1">
      <w:start w:val="1"/>
      <w:numFmt w:val="bullet"/>
      <w:lvlText w:val="•"/>
      <w:lvlJc w:val="left"/>
      <w:pPr>
        <w:tabs>
          <w:tab w:val="num" w:pos="2880"/>
        </w:tabs>
        <w:ind w:left="2880" w:hanging="360"/>
      </w:pPr>
      <w:rPr>
        <w:rFonts w:ascii="Arial" w:hAnsi="Arial" w:hint="default"/>
      </w:rPr>
    </w:lvl>
    <w:lvl w:ilvl="4" w:tplc="0F08FC10" w:tentative="1">
      <w:start w:val="1"/>
      <w:numFmt w:val="bullet"/>
      <w:lvlText w:val="•"/>
      <w:lvlJc w:val="left"/>
      <w:pPr>
        <w:tabs>
          <w:tab w:val="num" w:pos="3600"/>
        </w:tabs>
        <w:ind w:left="3600" w:hanging="360"/>
      </w:pPr>
      <w:rPr>
        <w:rFonts w:ascii="Arial" w:hAnsi="Arial" w:hint="default"/>
      </w:rPr>
    </w:lvl>
    <w:lvl w:ilvl="5" w:tplc="AC360D12" w:tentative="1">
      <w:start w:val="1"/>
      <w:numFmt w:val="bullet"/>
      <w:lvlText w:val="•"/>
      <w:lvlJc w:val="left"/>
      <w:pPr>
        <w:tabs>
          <w:tab w:val="num" w:pos="4320"/>
        </w:tabs>
        <w:ind w:left="4320" w:hanging="360"/>
      </w:pPr>
      <w:rPr>
        <w:rFonts w:ascii="Arial" w:hAnsi="Arial" w:hint="default"/>
      </w:rPr>
    </w:lvl>
    <w:lvl w:ilvl="6" w:tplc="D8C45F2A" w:tentative="1">
      <w:start w:val="1"/>
      <w:numFmt w:val="bullet"/>
      <w:lvlText w:val="•"/>
      <w:lvlJc w:val="left"/>
      <w:pPr>
        <w:tabs>
          <w:tab w:val="num" w:pos="5040"/>
        </w:tabs>
        <w:ind w:left="5040" w:hanging="360"/>
      </w:pPr>
      <w:rPr>
        <w:rFonts w:ascii="Arial" w:hAnsi="Arial" w:hint="default"/>
      </w:rPr>
    </w:lvl>
    <w:lvl w:ilvl="7" w:tplc="660C4524" w:tentative="1">
      <w:start w:val="1"/>
      <w:numFmt w:val="bullet"/>
      <w:lvlText w:val="•"/>
      <w:lvlJc w:val="left"/>
      <w:pPr>
        <w:tabs>
          <w:tab w:val="num" w:pos="5760"/>
        </w:tabs>
        <w:ind w:left="5760" w:hanging="360"/>
      </w:pPr>
      <w:rPr>
        <w:rFonts w:ascii="Arial" w:hAnsi="Arial" w:hint="default"/>
      </w:rPr>
    </w:lvl>
    <w:lvl w:ilvl="8" w:tplc="C5ACDC7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E2B3390"/>
    <w:multiLevelType w:val="hybridMultilevel"/>
    <w:tmpl w:val="4D4606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4"/>
  </w:num>
  <w:num w:numId="2">
    <w:abstractNumId w:val="15"/>
  </w:num>
  <w:num w:numId="3">
    <w:abstractNumId w:val="19"/>
  </w:num>
  <w:num w:numId="4">
    <w:abstractNumId w:val="18"/>
  </w:num>
  <w:num w:numId="5">
    <w:abstractNumId w:val="11"/>
  </w:num>
  <w:num w:numId="6">
    <w:abstractNumId w:val="2"/>
  </w:num>
  <w:num w:numId="7">
    <w:abstractNumId w:val="8"/>
  </w:num>
  <w:num w:numId="8">
    <w:abstractNumId w:val="17"/>
  </w:num>
  <w:num w:numId="9">
    <w:abstractNumId w:val="10"/>
  </w:num>
  <w:num w:numId="10">
    <w:abstractNumId w:val="9"/>
  </w:num>
  <w:num w:numId="11">
    <w:abstractNumId w:val="3"/>
  </w:num>
  <w:num w:numId="12">
    <w:abstractNumId w:val="1"/>
  </w:num>
  <w:num w:numId="13">
    <w:abstractNumId w:val="14"/>
  </w:num>
  <w:num w:numId="14">
    <w:abstractNumId w:val="7"/>
  </w:num>
  <w:num w:numId="15">
    <w:abstractNumId w:val="5"/>
  </w:num>
  <w:num w:numId="16">
    <w:abstractNumId w:val="6"/>
  </w:num>
  <w:num w:numId="17">
    <w:abstractNumId w:val="4"/>
  </w:num>
  <w:num w:numId="18">
    <w:abstractNumId w:val="13"/>
  </w:num>
  <w:num w:numId="19">
    <w:abstractNumId w:val="14"/>
  </w:num>
  <w:num w:numId="20">
    <w:abstractNumId w:val="16"/>
  </w:num>
  <w:num w:numId="21">
    <w:abstractNumId w:val="12"/>
  </w:num>
  <w:num w:numId="22">
    <w:abstractNumId w:val="20"/>
  </w:num>
  <w:num w:numId="23">
    <w:abstractNumId w:val="21"/>
  </w:num>
  <w:num w:numId="24">
    <w:abstractNumId w:val="0"/>
  </w:num>
  <w:num w:numId="25">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1207"/>
    <w:rsid w:val="00001B41"/>
    <w:rsid w:val="00002CDB"/>
    <w:rsid w:val="000033BB"/>
    <w:rsid w:val="00003F25"/>
    <w:rsid w:val="00004B5C"/>
    <w:rsid w:val="0000797A"/>
    <w:rsid w:val="000121C0"/>
    <w:rsid w:val="000122D6"/>
    <w:rsid w:val="000143D3"/>
    <w:rsid w:val="000152CE"/>
    <w:rsid w:val="00015326"/>
    <w:rsid w:val="00015631"/>
    <w:rsid w:val="00015873"/>
    <w:rsid w:val="0001727A"/>
    <w:rsid w:val="000208E3"/>
    <w:rsid w:val="0002094E"/>
    <w:rsid w:val="0002191D"/>
    <w:rsid w:val="000227BE"/>
    <w:rsid w:val="00022871"/>
    <w:rsid w:val="00024613"/>
    <w:rsid w:val="000258FE"/>
    <w:rsid w:val="000266A0"/>
    <w:rsid w:val="00026F21"/>
    <w:rsid w:val="00031C1D"/>
    <w:rsid w:val="00032F6B"/>
    <w:rsid w:val="000343F5"/>
    <w:rsid w:val="00034473"/>
    <w:rsid w:val="000373A1"/>
    <w:rsid w:val="00041C77"/>
    <w:rsid w:val="00041FB5"/>
    <w:rsid w:val="00042253"/>
    <w:rsid w:val="000447F4"/>
    <w:rsid w:val="00046CBD"/>
    <w:rsid w:val="000472D9"/>
    <w:rsid w:val="00047DB7"/>
    <w:rsid w:val="0005186F"/>
    <w:rsid w:val="00053C5F"/>
    <w:rsid w:val="00054BF1"/>
    <w:rsid w:val="00055FA2"/>
    <w:rsid w:val="00056D73"/>
    <w:rsid w:val="00057B1E"/>
    <w:rsid w:val="00057C82"/>
    <w:rsid w:val="00061103"/>
    <w:rsid w:val="0006534D"/>
    <w:rsid w:val="00065840"/>
    <w:rsid w:val="00066951"/>
    <w:rsid w:val="000672B2"/>
    <w:rsid w:val="0006733D"/>
    <w:rsid w:val="000722E4"/>
    <w:rsid w:val="00072468"/>
    <w:rsid w:val="000735FB"/>
    <w:rsid w:val="00074BF1"/>
    <w:rsid w:val="000754A3"/>
    <w:rsid w:val="00076D8D"/>
    <w:rsid w:val="00076E6A"/>
    <w:rsid w:val="00081128"/>
    <w:rsid w:val="000837A9"/>
    <w:rsid w:val="000850F3"/>
    <w:rsid w:val="0008693B"/>
    <w:rsid w:val="00087287"/>
    <w:rsid w:val="0008738E"/>
    <w:rsid w:val="00093A69"/>
    <w:rsid w:val="00093E7E"/>
    <w:rsid w:val="00094225"/>
    <w:rsid w:val="00094B67"/>
    <w:rsid w:val="00094E11"/>
    <w:rsid w:val="00095554"/>
    <w:rsid w:val="00096EAB"/>
    <w:rsid w:val="00096F03"/>
    <w:rsid w:val="00097E21"/>
    <w:rsid w:val="000A00D0"/>
    <w:rsid w:val="000A07F1"/>
    <w:rsid w:val="000A108F"/>
    <w:rsid w:val="000A1759"/>
    <w:rsid w:val="000A194A"/>
    <w:rsid w:val="000A2E06"/>
    <w:rsid w:val="000A2E10"/>
    <w:rsid w:val="000A3132"/>
    <w:rsid w:val="000A3689"/>
    <w:rsid w:val="000A661A"/>
    <w:rsid w:val="000A729F"/>
    <w:rsid w:val="000B2EBA"/>
    <w:rsid w:val="000B2EF7"/>
    <w:rsid w:val="000B3A12"/>
    <w:rsid w:val="000B6A6A"/>
    <w:rsid w:val="000C045E"/>
    <w:rsid w:val="000C04E9"/>
    <w:rsid w:val="000C43F7"/>
    <w:rsid w:val="000C44A9"/>
    <w:rsid w:val="000C5083"/>
    <w:rsid w:val="000C62BA"/>
    <w:rsid w:val="000D06B4"/>
    <w:rsid w:val="000D0758"/>
    <w:rsid w:val="000D0EDB"/>
    <w:rsid w:val="000D1520"/>
    <w:rsid w:val="000D1AEB"/>
    <w:rsid w:val="000D48AF"/>
    <w:rsid w:val="000D4A72"/>
    <w:rsid w:val="000D53D3"/>
    <w:rsid w:val="000D66CB"/>
    <w:rsid w:val="000D6CFC"/>
    <w:rsid w:val="000D7963"/>
    <w:rsid w:val="000E0CA4"/>
    <w:rsid w:val="000E0D9B"/>
    <w:rsid w:val="000E16EB"/>
    <w:rsid w:val="000E17F1"/>
    <w:rsid w:val="000E284C"/>
    <w:rsid w:val="000E3056"/>
    <w:rsid w:val="000E5BEE"/>
    <w:rsid w:val="000E5CBC"/>
    <w:rsid w:val="000E69EA"/>
    <w:rsid w:val="000F2478"/>
    <w:rsid w:val="000F7730"/>
    <w:rsid w:val="000F7EFE"/>
    <w:rsid w:val="000F7F92"/>
    <w:rsid w:val="00100245"/>
    <w:rsid w:val="001012D3"/>
    <w:rsid w:val="00101ACF"/>
    <w:rsid w:val="0010220A"/>
    <w:rsid w:val="00102C99"/>
    <w:rsid w:val="001033CB"/>
    <w:rsid w:val="00104E8E"/>
    <w:rsid w:val="001051DE"/>
    <w:rsid w:val="00112264"/>
    <w:rsid w:val="00112480"/>
    <w:rsid w:val="001135BD"/>
    <w:rsid w:val="00114473"/>
    <w:rsid w:val="00114A5F"/>
    <w:rsid w:val="00115249"/>
    <w:rsid w:val="001176FD"/>
    <w:rsid w:val="001206F8"/>
    <w:rsid w:val="001211BC"/>
    <w:rsid w:val="00121E7E"/>
    <w:rsid w:val="00121FF5"/>
    <w:rsid w:val="00123F9C"/>
    <w:rsid w:val="00126E09"/>
    <w:rsid w:val="00127AE9"/>
    <w:rsid w:val="001311E4"/>
    <w:rsid w:val="00131A87"/>
    <w:rsid w:val="00132A1B"/>
    <w:rsid w:val="00133193"/>
    <w:rsid w:val="00133541"/>
    <w:rsid w:val="001354B3"/>
    <w:rsid w:val="00135703"/>
    <w:rsid w:val="00137B0F"/>
    <w:rsid w:val="0014010C"/>
    <w:rsid w:val="00141A70"/>
    <w:rsid w:val="00142407"/>
    <w:rsid w:val="00143961"/>
    <w:rsid w:val="001478C3"/>
    <w:rsid w:val="00147BE5"/>
    <w:rsid w:val="001518AB"/>
    <w:rsid w:val="00151F88"/>
    <w:rsid w:val="00151F90"/>
    <w:rsid w:val="0015221E"/>
    <w:rsid w:val="00152C7E"/>
    <w:rsid w:val="00152EF4"/>
    <w:rsid w:val="00153528"/>
    <w:rsid w:val="001541D5"/>
    <w:rsid w:val="001555D0"/>
    <w:rsid w:val="0015578E"/>
    <w:rsid w:val="0015718A"/>
    <w:rsid w:val="00157197"/>
    <w:rsid w:val="00157CBC"/>
    <w:rsid w:val="00160ECA"/>
    <w:rsid w:val="0016184A"/>
    <w:rsid w:val="00162C70"/>
    <w:rsid w:val="001642C2"/>
    <w:rsid w:val="0016596F"/>
    <w:rsid w:val="00166750"/>
    <w:rsid w:val="00166985"/>
    <w:rsid w:val="00172031"/>
    <w:rsid w:val="00173059"/>
    <w:rsid w:val="00173C4C"/>
    <w:rsid w:val="001753C0"/>
    <w:rsid w:val="00175404"/>
    <w:rsid w:val="00175920"/>
    <w:rsid w:val="00177DC6"/>
    <w:rsid w:val="001822E1"/>
    <w:rsid w:val="00182B95"/>
    <w:rsid w:val="00182FB3"/>
    <w:rsid w:val="001842CE"/>
    <w:rsid w:val="0018604E"/>
    <w:rsid w:val="00186ED9"/>
    <w:rsid w:val="001905CB"/>
    <w:rsid w:val="00190B0C"/>
    <w:rsid w:val="00190B4F"/>
    <w:rsid w:val="001911A9"/>
    <w:rsid w:val="00191AD9"/>
    <w:rsid w:val="0019286D"/>
    <w:rsid w:val="00194FCC"/>
    <w:rsid w:val="001953F4"/>
    <w:rsid w:val="001958D6"/>
    <w:rsid w:val="0019615E"/>
    <w:rsid w:val="00196882"/>
    <w:rsid w:val="001968B4"/>
    <w:rsid w:val="00197455"/>
    <w:rsid w:val="0019768C"/>
    <w:rsid w:val="001A08AA"/>
    <w:rsid w:val="001A5826"/>
    <w:rsid w:val="001A79E5"/>
    <w:rsid w:val="001B50EE"/>
    <w:rsid w:val="001C0790"/>
    <w:rsid w:val="001C0D39"/>
    <w:rsid w:val="001C15BE"/>
    <w:rsid w:val="001C1C16"/>
    <w:rsid w:val="001C1F2B"/>
    <w:rsid w:val="001C26C1"/>
    <w:rsid w:val="001C2B5A"/>
    <w:rsid w:val="001C2EA0"/>
    <w:rsid w:val="001C46E2"/>
    <w:rsid w:val="001C478C"/>
    <w:rsid w:val="001C4EDD"/>
    <w:rsid w:val="001C5305"/>
    <w:rsid w:val="001C5645"/>
    <w:rsid w:val="001C5A24"/>
    <w:rsid w:val="001D028C"/>
    <w:rsid w:val="001D0F48"/>
    <w:rsid w:val="001D2E59"/>
    <w:rsid w:val="001D3079"/>
    <w:rsid w:val="001D50EA"/>
    <w:rsid w:val="001D5835"/>
    <w:rsid w:val="001D5E32"/>
    <w:rsid w:val="001D72E5"/>
    <w:rsid w:val="001E0941"/>
    <w:rsid w:val="001E0CB0"/>
    <w:rsid w:val="001E3B39"/>
    <w:rsid w:val="001E63A1"/>
    <w:rsid w:val="001E6D3D"/>
    <w:rsid w:val="001E6F75"/>
    <w:rsid w:val="001E7812"/>
    <w:rsid w:val="001F02FE"/>
    <w:rsid w:val="001F0340"/>
    <w:rsid w:val="001F206B"/>
    <w:rsid w:val="001F2755"/>
    <w:rsid w:val="001F2E57"/>
    <w:rsid w:val="001F2FB7"/>
    <w:rsid w:val="001F331B"/>
    <w:rsid w:val="001F6689"/>
    <w:rsid w:val="001F7429"/>
    <w:rsid w:val="002004AE"/>
    <w:rsid w:val="00200A50"/>
    <w:rsid w:val="002023A0"/>
    <w:rsid w:val="00202AE7"/>
    <w:rsid w:val="00203C81"/>
    <w:rsid w:val="00204B08"/>
    <w:rsid w:val="0020670D"/>
    <w:rsid w:val="00207AC8"/>
    <w:rsid w:val="002106A2"/>
    <w:rsid w:val="0021141F"/>
    <w:rsid w:val="00211C4A"/>
    <w:rsid w:val="00212373"/>
    <w:rsid w:val="002124E5"/>
    <w:rsid w:val="0021250B"/>
    <w:rsid w:val="00212513"/>
    <w:rsid w:val="00212520"/>
    <w:rsid w:val="00212BC4"/>
    <w:rsid w:val="002138EA"/>
    <w:rsid w:val="002139A3"/>
    <w:rsid w:val="002143B4"/>
    <w:rsid w:val="002148D7"/>
    <w:rsid w:val="00214C0D"/>
    <w:rsid w:val="00214FBD"/>
    <w:rsid w:val="00216D2C"/>
    <w:rsid w:val="0021766C"/>
    <w:rsid w:val="00220070"/>
    <w:rsid w:val="002201C3"/>
    <w:rsid w:val="002223A7"/>
    <w:rsid w:val="00222897"/>
    <w:rsid w:val="00224667"/>
    <w:rsid w:val="00224D08"/>
    <w:rsid w:val="00226094"/>
    <w:rsid w:val="002305ED"/>
    <w:rsid w:val="002306B9"/>
    <w:rsid w:val="00231673"/>
    <w:rsid w:val="0023181B"/>
    <w:rsid w:val="00232C18"/>
    <w:rsid w:val="0023333C"/>
    <w:rsid w:val="002337B3"/>
    <w:rsid w:val="00235394"/>
    <w:rsid w:val="00235A9B"/>
    <w:rsid w:val="00235FBC"/>
    <w:rsid w:val="00236AF3"/>
    <w:rsid w:val="002371D3"/>
    <w:rsid w:val="002374A0"/>
    <w:rsid w:val="002379CC"/>
    <w:rsid w:val="002405D2"/>
    <w:rsid w:val="00241D4B"/>
    <w:rsid w:val="00241DA6"/>
    <w:rsid w:val="002446C9"/>
    <w:rsid w:val="00244AF0"/>
    <w:rsid w:val="002506F0"/>
    <w:rsid w:val="00251422"/>
    <w:rsid w:val="00252695"/>
    <w:rsid w:val="002528D3"/>
    <w:rsid w:val="002528EA"/>
    <w:rsid w:val="00253CD8"/>
    <w:rsid w:val="002549FC"/>
    <w:rsid w:val="00254B3D"/>
    <w:rsid w:val="00254CCD"/>
    <w:rsid w:val="00256CF6"/>
    <w:rsid w:val="002570A5"/>
    <w:rsid w:val="00257ACB"/>
    <w:rsid w:val="00260D25"/>
    <w:rsid w:val="00261488"/>
    <w:rsid w:val="0026179F"/>
    <w:rsid w:val="00262A8E"/>
    <w:rsid w:val="00264189"/>
    <w:rsid w:val="00265464"/>
    <w:rsid w:val="0026583D"/>
    <w:rsid w:val="00265F02"/>
    <w:rsid w:val="00266028"/>
    <w:rsid w:val="00266FA8"/>
    <w:rsid w:val="00270C9E"/>
    <w:rsid w:val="00272358"/>
    <w:rsid w:val="0027490F"/>
    <w:rsid w:val="00274E1A"/>
    <w:rsid w:val="00274F1E"/>
    <w:rsid w:val="0027516B"/>
    <w:rsid w:val="00275FD2"/>
    <w:rsid w:val="00276223"/>
    <w:rsid w:val="002770F4"/>
    <w:rsid w:val="00280258"/>
    <w:rsid w:val="00281777"/>
    <w:rsid w:val="002819FD"/>
    <w:rsid w:val="00282159"/>
    <w:rsid w:val="00282213"/>
    <w:rsid w:val="00284500"/>
    <w:rsid w:val="00287BC6"/>
    <w:rsid w:val="00287F5A"/>
    <w:rsid w:val="0029193E"/>
    <w:rsid w:val="00292870"/>
    <w:rsid w:val="00292CC3"/>
    <w:rsid w:val="00293613"/>
    <w:rsid w:val="0029400E"/>
    <w:rsid w:val="0029560C"/>
    <w:rsid w:val="00295686"/>
    <w:rsid w:val="002A1DCC"/>
    <w:rsid w:val="002A416C"/>
    <w:rsid w:val="002A452B"/>
    <w:rsid w:val="002A486F"/>
    <w:rsid w:val="002A6272"/>
    <w:rsid w:val="002A63E4"/>
    <w:rsid w:val="002A64A5"/>
    <w:rsid w:val="002A6FE9"/>
    <w:rsid w:val="002A7183"/>
    <w:rsid w:val="002A7455"/>
    <w:rsid w:val="002A7B53"/>
    <w:rsid w:val="002B1B15"/>
    <w:rsid w:val="002B1F88"/>
    <w:rsid w:val="002B429C"/>
    <w:rsid w:val="002B561F"/>
    <w:rsid w:val="002B6CEF"/>
    <w:rsid w:val="002B72AA"/>
    <w:rsid w:val="002B757F"/>
    <w:rsid w:val="002B7BC4"/>
    <w:rsid w:val="002C13A0"/>
    <w:rsid w:val="002C324A"/>
    <w:rsid w:val="002C3F4C"/>
    <w:rsid w:val="002C40A3"/>
    <w:rsid w:val="002C4D60"/>
    <w:rsid w:val="002D06F5"/>
    <w:rsid w:val="002D2577"/>
    <w:rsid w:val="002D2619"/>
    <w:rsid w:val="002D36ED"/>
    <w:rsid w:val="002D47D9"/>
    <w:rsid w:val="002D5B23"/>
    <w:rsid w:val="002D69AB"/>
    <w:rsid w:val="002D70EF"/>
    <w:rsid w:val="002D782C"/>
    <w:rsid w:val="002E08D7"/>
    <w:rsid w:val="002E0B06"/>
    <w:rsid w:val="002E48E5"/>
    <w:rsid w:val="002E5799"/>
    <w:rsid w:val="002E5D19"/>
    <w:rsid w:val="002E7DE5"/>
    <w:rsid w:val="002E7EF7"/>
    <w:rsid w:val="002F030F"/>
    <w:rsid w:val="002F0964"/>
    <w:rsid w:val="002F104C"/>
    <w:rsid w:val="002F1DCB"/>
    <w:rsid w:val="002F272A"/>
    <w:rsid w:val="002F2B29"/>
    <w:rsid w:val="002F373E"/>
    <w:rsid w:val="002F4093"/>
    <w:rsid w:val="002F40CC"/>
    <w:rsid w:val="002F63F6"/>
    <w:rsid w:val="002F7D50"/>
    <w:rsid w:val="00300039"/>
    <w:rsid w:val="00300397"/>
    <w:rsid w:val="0030129F"/>
    <w:rsid w:val="00302C96"/>
    <w:rsid w:val="003046A7"/>
    <w:rsid w:val="003052DA"/>
    <w:rsid w:val="0030536D"/>
    <w:rsid w:val="00307BEF"/>
    <w:rsid w:val="00313089"/>
    <w:rsid w:val="003155D8"/>
    <w:rsid w:val="0031581E"/>
    <w:rsid w:val="0031699D"/>
    <w:rsid w:val="0031704D"/>
    <w:rsid w:val="00317783"/>
    <w:rsid w:val="003210CC"/>
    <w:rsid w:val="00321DB3"/>
    <w:rsid w:val="003225EF"/>
    <w:rsid w:val="00322D40"/>
    <w:rsid w:val="003230B0"/>
    <w:rsid w:val="00323E87"/>
    <w:rsid w:val="003245C3"/>
    <w:rsid w:val="00325430"/>
    <w:rsid w:val="00326B16"/>
    <w:rsid w:val="00330067"/>
    <w:rsid w:val="0033073D"/>
    <w:rsid w:val="00330F3F"/>
    <w:rsid w:val="00331C9E"/>
    <w:rsid w:val="00331F8D"/>
    <w:rsid w:val="00333AEB"/>
    <w:rsid w:val="00333CCD"/>
    <w:rsid w:val="003357E1"/>
    <w:rsid w:val="00335E85"/>
    <w:rsid w:val="003366B3"/>
    <w:rsid w:val="003379C2"/>
    <w:rsid w:val="003411C2"/>
    <w:rsid w:val="00342018"/>
    <w:rsid w:val="00342509"/>
    <w:rsid w:val="00345462"/>
    <w:rsid w:val="00346325"/>
    <w:rsid w:val="003473E4"/>
    <w:rsid w:val="00347868"/>
    <w:rsid w:val="003505A3"/>
    <w:rsid w:val="003540D1"/>
    <w:rsid w:val="00354265"/>
    <w:rsid w:val="00355D5F"/>
    <w:rsid w:val="00355FEA"/>
    <w:rsid w:val="003569D5"/>
    <w:rsid w:val="00357DDA"/>
    <w:rsid w:val="003605F0"/>
    <w:rsid w:val="0036097B"/>
    <w:rsid w:val="0036376B"/>
    <w:rsid w:val="00364B88"/>
    <w:rsid w:val="00364CFD"/>
    <w:rsid w:val="00365FE2"/>
    <w:rsid w:val="00367724"/>
    <w:rsid w:val="00367E7D"/>
    <w:rsid w:val="0037097E"/>
    <w:rsid w:val="00370F1F"/>
    <w:rsid w:val="00373155"/>
    <w:rsid w:val="00376EB4"/>
    <w:rsid w:val="003770FF"/>
    <w:rsid w:val="00377A81"/>
    <w:rsid w:val="00377B02"/>
    <w:rsid w:val="00377E65"/>
    <w:rsid w:val="003807E0"/>
    <w:rsid w:val="00382957"/>
    <w:rsid w:val="00383EAB"/>
    <w:rsid w:val="00384502"/>
    <w:rsid w:val="00385271"/>
    <w:rsid w:val="003861F1"/>
    <w:rsid w:val="00390B2E"/>
    <w:rsid w:val="003947AB"/>
    <w:rsid w:val="003953AA"/>
    <w:rsid w:val="00395C3F"/>
    <w:rsid w:val="00396280"/>
    <w:rsid w:val="003969DE"/>
    <w:rsid w:val="00396F61"/>
    <w:rsid w:val="003978CE"/>
    <w:rsid w:val="003A338B"/>
    <w:rsid w:val="003A5FA4"/>
    <w:rsid w:val="003A6CCB"/>
    <w:rsid w:val="003A7F9B"/>
    <w:rsid w:val="003B1CD7"/>
    <w:rsid w:val="003B25A7"/>
    <w:rsid w:val="003B63FF"/>
    <w:rsid w:val="003B6801"/>
    <w:rsid w:val="003B7096"/>
    <w:rsid w:val="003C05F2"/>
    <w:rsid w:val="003C245B"/>
    <w:rsid w:val="003C2562"/>
    <w:rsid w:val="003C2DC1"/>
    <w:rsid w:val="003C3166"/>
    <w:rsid w:val="003C3EAD"/>
    <w:rsid w:val="003C5F24"/>
    <w:rsid w:val="003C6BDA"/>
    <w:rsid w:val="003C6CE6"/>
    <w:rsid w:val="003C7AE1"/>
    <w:rsid w:val="003C7C79"/>
    <w:rsid w:val="003D0233"/>
    <w:rsid w:val="003D0346"/>
    <w:rsid w:val="003D0F5B"/>
    <w:rsid w:val="003D1F33"/>
    <w:rsid w:val="003D3003"/>
    <w:rsid w:val="003D30CE"/>
    <w:rsid w:val="003D3659"/>
    <w:rsid w:val="003D4569"/>
    <w:rsid w:val="003D46BA"/>
    <w:rsid w:val="003D70D3"/>
    <w:rsid w:val="003E05F6"/>
    <w:rsid w:val="003E2190"/>
    <w:rsid w:val="003E75DA"/>
    <w:rsid w:val="003F04F5"/>
    <w:rsid w:val="003F1503"/>
    <w:rsid w:val="003F17A3"/>
    <w:rsid w:val="003F2D18"/>
    <w:rsid w:val="003F6410"/>
    <w:rsid w:val="003F6FC9"/>
    <w:rsid w:val="003F7334"/>
    <w:rsid w:val="00400014"/>
    <w:rsid w:val="00402744"/>
    <w:rsid w:val="004039E9"/>
    <w:rsid w:val="004048A8"/>
    <w:rsid w:val="00405657"/>
    <w:rsid w:val="00411F3C"/>
    <w:rsid w:val="004134F7"/>
    <w:rsid w:val="0041441E"/>
    <w:rsid w:val="00414494"/>
    <w:rsid w:val="0041475D"/>
    <w:rsid w:val="00415DFC"/>
    <w:rsid w:val="0041688B"/>
    <w:rsid w:val="00416DD2"/>
    <w:rsid w:val="00416F56"/>
    <w:rsid w:val="00420E31"/>
    <w:rsid w:val="00421674"/>
    <w:rsid w:val="0042338B"/>
    <w:rsid w:val="00423C66"/>
    <w:rsid w:val="00423D02"/>
    <w:rsid w:val="0042539B"/>
    <w:rsid w:val="00432059"/>
    <w:rsid w:val="00432DB0"/>
    <w:rsid w:val="004348E3"/>
    <w:rsid w:val="00435D47"/>
    <w:rsid w:val="0043633D"/>
    <w:rsid w:val="00440B01"/>
    <w:rsid w:val="004424C3"/>
    <w:rsid w:val="004428BB"/>
    <w:rsid w:val="00443C22"/>
    <w:rsid w:val="00444225"/>
    <w:rsid w:val="00445D09"/>
    <w:rsid w:val="00445D1B"/>
    <w:rsid w:val="00446111"/>
    <w:rsid w:val="0045125C"/>
    <w:rsid w:val="00451E54"/>
    <w:rsid w:val="00452D7E"/>
    <w:rsid w:val="00456BEA"/>
    <w:rsid w:val="00457318"/>
    <w:rsid w:val="004573DA"/>
    <w:rsid w:val="00457C47"/>
    <w:rsid w:val="004626AB"/>
    <w:rsid w:val="00463882"/>
    <w:rsid w:val="004652DB"/>
    <w:rsid w:val="00466423"/>
    <w:rsid w:val="004707C7"/>
    <w:rsid w:val="004714C0"/>
    <w:rsid w:val="004720C4"/>
    <w:rsid w:val="0047284D"/>
    <w:rsid w:val="00472874"/>
    <w:rsid w:val="00473697"/>
    <w:rsid w:val="004741D5"/>
    <w:rsid w:val="00477053"/>
    <w:rsid w:val="0048140E"/>
    <w:rsid w:val="00481B8C"/>
    <w:rsid w:val="004824B8"/>
    <w:rsid w:val="00482752"/>
    <w:rsid w:val="00486374"/>
    <w:rsid w:val="00487A20"/>
    <w:rsid w:val="004904FC"/>
    <w:rsid w:val="00491E50"/>
    <w:rsid w:val="00493BD5"/>
    <w:rsid w:val="00493D84"/>
    <w:rsid w:val="004944F1"/>
    <w:rsid w:val="00494954"/>
    <w:rsid w:val="00495EE1"/>
    <w:rsid w:val="00496C45"/>
    <w:rsid w:val="00496DB3"/>
    <w:rsid w:val="00497D93"/>
    <w:rsid w:val="004A07B6"/>
    <w:rsid w:val="004A17C7"/>
    <w:rsid w:val="004A215D"/>
    <w:rsid w:val="004A3227"/>
    <w:rsid w:val="004A3261"/>
    <w:rsid w:val="004A44BA"/>
    <w:rsid w:val="004A6ED7"/>
    <w:rsid w:val="004B04F3"/>
    <w:rsid w:val="004B313C"/>
    <w:rsid w:val="004B36DC"/>
    <w:rsid w:val="004B6A3D"/>
    <w:rsid w:val="004C0650"/>
    <w:rsid w:val="004C0AE5"/>
    <w:rsid w:val="004C0F3E"/>
    <w:rsid w:val="004C443A"/>
    <w:rsid w:val="004C500C"/>
    <w:rsid w:val="004C58A6"/>
    <w:rsid w:val="004D237A"/>
    <w:rsid w:val="004D2891"/>
    <w:rsid w:val="004D29D7"/>
    <w:rsid w:val="004D4A45"/>
    <w:rsid w:val="004D69A7"/>
    <w:rsid w:val="004D6D62"/>
    <w:rsid w:val="004D7817"/>
    <w:rsid w:val="004E0562"/>
    <w:rsid w:val="004E10EE"/>
    <w:rsid w:val="004E13F4"/>
    <w:rsid w:val="004E23DE"/>
    <w:rsid w:val="004E2602"/>
    <w:rsid w:val="004E2E08"/>
    <w:rsid w:val="004E34F7"/>
    <w:rsid w:val="004E4003"/>
    <w:rsid w:val="004E5190"/>
    <w:rsid w:val="004E5277"/>
    <w:rsid w:val="004E5CB8"/>
    <w:rsid w:val="004F03DF"/>
    <w:rsid w:val="004F0AEE"/>
    <w:rsid w:val="004F0B5D"/>
    <w:rsid w:val="004F2E1A"/>
    <w:rsid w:val="004F62D0"/>
    <w:rsid w:val="005012E6"/>
    <w:rsid w:val="00502508"/>
    <w:rsid w:val="005025E1"/>
    <w:rsid w:val="00503690"/>
    <w:rsid w:val="00503A15"/>
    <w:rsid w:val="00503C68"/>
    <w:rsid w:val="005044F3"/>
    <w:rsid w:val="00504ABF"/>
    <w:rsid w:val="00504C1D"/>
    <w:rsid w:val="00505BFA"/>
    <w:rsid w:val="00507A87"/>
    <w:rsid w:val="00512808"/>
    <w:rsid w:val="0051687F"/>
    <w:rsid w:val="00516C17"/>
    <w:rsid w:val="00517FD0"/>
    <w:rsid w:val="00520285"/>
    <w:rsid w:val="005203DE"/>
    <w:rsid w:val="005208C8"/>
    <w:rsid w:val="00520A81"/>
    <w:rsid w:val="00520AC5"/>
    <w:rsid w:val="0052251A"/>
    <w:rsid w:val="0052277A"/>
    <w:rsid w:val="005236BB"/>
    <w:rsid w:val="00523A04"/>
    <w:rsid w:val="00524169"/>
    <w:rsid w:val="0052455F"/>
    <w:rsid w:val="00525277"/>
    <w:rsid w:val="005259DC"/>
    <w:rsid w:val="005312DF"/>
    <w:rsid w:val="00531F0A"/>
    <w:rsid w:val="00532909"/>
    <w:rsid w:val="00532AFC"/>
    <w:rsid w:val="00532C4D"/>
    <w:rsid w:val="00534990"/>
    <w:rsid w:val="00535DC1"/>
    <w:rsid w:val="00536873"/>
    <w:rsid w:val="00536BF3"/>
    <w:rsid w:val="005373FA"/>
    <w:rsid w:val="005400D0"/>
    <w:rsid w:val="005412AC"/>
    <w:rsid w:val="00541F8F"/>
    <w:rsid w:val="0054230D"/>
    <w:rsid w:val="00542D3D"/>
    <w:rsid w:val="005437B2"/>
    <w:rsid w:val="00544628"/>
    <w:rsid w:val="005460DB"/>
    <w:rsid w:val="00546664"/>
    <w:rsid w:val="005504FF"/>
    <w:rsid w:val="00552024"/>
    <w:rsid w:val="0055331F"/>
    <w:rsid w:val="0055717C"/>
    <w:rsid w:val="00561966"/>
    <w:rsid w:val="00563111"/>
    <w:rsid w:val="00564539"/>
    <w:rsid w:val="0056490C"/>
    <w:rsid w:val="00572244"/>
    <w:rsid w:val="005724AC"/>
    <w:rsid w:val="00577349"/>
    <w:rsid w:val="00577501"/>
    <w:rsid w:val="00577842"/>
    <w:rsid w:val="0057789C"/>
    <w:rsid w:val="00577C58"/>
    <w:rsid w:val="00580522"/>
    <w:rsid w:val="00580AE0"/>
    <w:rsid w:val="00580E9E"/>
    <w:rsid w:val="00581250"/>
    <w:rsid w:val="00581E99"/>
    <w:rsid w:val="005856C5"/>
    <w:rsid w:val="0058668B"/>
    <w:rsid w:val="00586BDE"/>
    <w:rsid w:val="0059131E"/>
    <w:rsid w:val="00591A1D"/>
    <w:rsid w:val="00591A8F"/>
    <w:rsid w:val="005926C0"/>
    <w:rsid w:val="00593800"/>
    <w:rsid w:val="0059412B"/>
    <w:rsid w:val="00595B59"/>
    <w:rsid w:val="0059632A"/>
    <w:rsid w:val="005969A6"/>
    <w:rsid w:val="00597AD8"/>
    <w:rsid w:val="005A1338"/>
    <w:rsid w:val="005A2979"/>
    <w:rsid w:val="005A3652"/>
    <w:rsid w:val="005A602E"/>
    <w:rsid w:val="005A6683"/>
    <w:rsid w:val="005A675D"/>
    <w:rsid w:val="005A70E4"/>
    <w:rsid w:val="005A7465"/>
    <w:rsid w:val="005A7783"/>
    <w:rsid w:val="005B0B2E"/>
    <w:rsid w:val="005B0BF5"/>
    <w:rsid w:val="005B1F15"/>
    <w:rsid w:val="005B2165"/>
    <w:rsid w:val="005B21AE"/>
    <w:rsid w:val="005B3861"/>
    <w:rsid w:val="005B4416"/>
    <w:rsid w:val="005B5132"/>
    <w:rsid w:val="005B5284"/>
    <w:rsid w:val="005B5C1C"/>
    <w:rsid w:val="005B5D20"/>
    <w:rsid w:val="005B68DE"/>
    <w:rsid w:val="005B7BAE"/>
    <w:rsid w:val="005C194A"/>
    <w:rsid w:val="005C1B28"/>
    <w:rsid w:val="005C4E15"/>
    <w:rsid w:val="005C4F05"/>
    <w:rsid w:val="005C6B2A"/>
    <w:rsid w:val="005C6F72"/>
    <w:rsid w:val="005C75E4"/>
    <w:rsid w:val="005C7A72"/>
    <w:rsid w:val="005C7CB5"/>
    <w:rsid w:val="005D0B69"/>
    <w:rsid w:val="005D2673"/>
    <w:rsid w:val="005D320C"/>
    <w:rsid w:val="005D47F0"/>
    <w:rsid w:val="005D4C01"/>
    <w:rsid w:val="005D4D94"/>
    <w:rsid w:val="005D6062"/>
    <w:rsid w:val="005D6E6E"/>
    <w:rsid w:val="005D7670"/>
    <w:rsid w:val="005E0178"/>
    <w:rsid w:val="005E032A"/>
    <w:rsid w:val="005E2047"/>
    <w:rsid w:val="005E2FBA"/>
    <w:rsid w:val="005E5985"/>
    <w:rsid w:val="005E64B6"/>
    <w:rsid w:val="005E7768"/>
    <w:rsid w:val="005F5422"/>
    <w:rsid w:val="005F54C9"/>
    <w:rsid w:val="005F55F8"/>
    <w:rsid w:val="005F57B4"/>
    <w:rsid w:val="005F6D11"/>
    <w:rsid w:val="005F6E95"/>
    <w:rsid w:val="006002C5"/>
    <w:rsid w:val="006003DF"/>
    <w:rsid w:val="00600E04"/>
    <w:rsid w:val="00601791"/>
    <w:rsid w:val="00601BCD"/>
    <w:rsid w:val="0060469B"/>
    <w:rsid w:val="00606DC9"/>
    <w:rsid w:val="0061035E"/>
    <w:rsid w:val="0061126B"/>
    <w:rsid w:val="0061230B"/>
    <w:rsid w:val="006124EB"/>
    <w:rsid w:val="00617873"/>
    <w:rsid w:val="0062084A"/>
    <w:rsid w:val="00621321"/>
    <w:rsid w:val="006226BC"/>
    <w:rsid w:val="00623415"/>
    <w:rsid w:val="00624011"/>
    <w:rsid w:val="006240D1"/>
    <w:rsid w:val="006253B1"/>
    <w:rsid w:val="006269F9"/>
    <w:rsid w:val="00626BF2"/>
    <w:rsid w:val="00627292"/>
    <w:rsid w:val="006277BA"/>
    <w:rsid w:val="00627C2C"/>
    <w:rsid w:val="0063019F"/>
    <w:rsid w:val="00630F44"/>
    <w:rsid w:val="00631361"/>
    <w:rsid w:val="006319BF"/>
    <w:rsid w:val="00631E9C"/>
    <w:rsid w:val="00632D91"/>
    <w:rsid w:val="0063375A"/>
    <w:rsid w:val="00635C3F"/>
    <w:rsid w:val="00636471"/>
    <w:rsid w:val="00636BCC"/>
    <w:rsid w:val="00641A26"/>
    <w:rsid w:val="00641FC4"/>
    <w:rsid w:val="00642E83"/>
    <w:rsid w:val="0064303D"/>
    <w:rsid w:val="00644608"/>
    <w:rsid w:val="00644DBB"/>
    <w:rsid w:val="00644FD4"/>
    <w:rsid w:val="00645F5B"/>
    <w:rsid w:val="00647224"/>
    <w:rsid w:val="00647C02"/>
    <w:rsid w:val="00650A9F"/>
    <w:rsid w:val="00650E61"/>
    <w:rsid w:val="006517D0"/>
    <w:rsid w:val="0065310A"/>
    <w:rsid w:val="006548A6"/>
    <w:rsid w:val="00654F94"/>
    <w:rsid w:val="00656D64"/>
    <w:rsid w:val="0065702D"/>
    <w:rsid w:val="00662089"/>
    <w:rsid w:val="00662682"/>
    <w:rsid w:val="00663CAF"/>
    <w:rsid w:val="006653F6"/>
    <w:rsid w:val="00665A62"/>
    <w:rsid w:val="00666664"/>
    <w:rsid w:val="00670166"/>
    <w:rsid w:val="00670FAA"/>
    <w:rsid w:val="006723F2"/>
    <w:rsid w:val="00674154"/>
    <w:rsid w:val="00674C3D"/>
    <w:rsid w:val="006754C3"/>
    <w:rsid w:val="00675AB9"/>
    <w:rsid w:val="00676F9F"/>
    <w:rsid w:val="006776D7"/>
    <w:rsid w:val="00680109"/>
    <w:rsid w:val="006819B6"/>
    <w:rsid w:val="00681E90"/>
    <w:rsid w:val="00682660"/>
    <w:rsid w:val="00682BFE"/>
    <w:rsid w:val="00683EB8"/>
    <w:rsid w:val="00684722"/>
    <w:rsid w:val="0068496A"/>
    <w:rsid w:val="00684B29"/>
    <w:rsid w:val="006851D4"/>
    <w:rsid w:val="00686947"/>
    <w:rsid w:val="00687B56"/>
    <w:rsid w:val="00690EB8"/>
    <w:rsid w:val="00691A70"/>
    <w:rsid w:val="00691C3A"/>
    <w:rsid w:val="00692002"/>
    <w:rsid w:val="00692087"/>
    <w:rsid w:val="0069229D"/>
    <w:rsid w:val="006960AC"/>
    <w:rsid w:val="006A1129"/>
    <w:rsid w:val="006A2A18"/>
    <w:rsid w:val="006A4206"/>
    <w:rsid w:val="006A4F41"/>
    <w:rsid w:val="006A6912"/>
    <w:rsid w:val="006B0464"/>
    <w:rsid w:val="006B26C4"/>
    <w:rsid w:val="006B54F6"/>
    <w:rsid w:val="006C08AD"/>
    <w:rsid w:val="006C17B2"/>
    <w:rsid w:val="006C183B"/>
    <w:rsid w:val="006C25A9"/>
    <w:rsid w:val="006C3111"/>
    <w:rsid w:val="006C512B"/>
    <w:rsid w:val="006C6D65"/>
    <w:rsid w:val="006C714E"/>
    <w:rsid w:val="006C7CF2"/>
    <w:rsid w:val="006D045A"/>
    <w:rsid w:val="006D1231"/>
    <w:rsid w:val="006D24CA"/>
    <w:rsid w:val="006D5D32"/>
    <w:rsid w:val="006D7097"/>
    <w:rsid w:val="006E0160"/>
    <w:rsid w:val="006E0979"/>
    <w:rsid w:val="006E0F03"/>
    <w:rsid w:val="006E3D98"/>
    <w:rsid w:val="006E50C9"/>
    <w:rsid w:val="006E5FAD"/>
    <w:rsid w:val="006E6A43"/>
    <w:rsid w:val="006E6C2D"/>
    <w:rsid w:val="006E707B"/>
    <w:rsid w:val="006E7B14"/>
    <w:rsid w:val="006E7C8E"/>
    <w:rsid w:val="006F09AD"/>
    <w:rsid w:val="006F1F77"/>
    <w:rsid w:val="006F3AE0"/>
    <w:rsid w:val="00702D49"/>
    <w:rsid w:val="007034A9"/>
    <w:rsid w:val="0070469F"/>
    <w:rsid w:val="00704E63"/>
    <w:rsid w:val="00705A42"/>
    <w:rsid w:val="0070646B"/>
    <w:rsid w:val="00707FE0"/>
    <w:rsid w:val="00710556"/>
    <w:rsid w:val="00710EBB"/>
    <w:rsid w:val="00710FE8"/>
    <w:rsid w:val="0071157A"/>
    <w:rsid w:val="00712BB6"/>
    <w:rsid w:val="00713B22"/>
    <w:rsid w:val="007151CE"/>
    <w:rsid w:val="00715FC6"/>
    <w:rsid w:val="00716BFE"/>
    <w:rsid w:val="007170DF"/>
    <w:rsid w:val="00722727"/>
    <w:rsid w:val="00722F31"/>
    <w:rsid w:val="00724FEA"/>
    <w:rsid w:val="00725F80"/>
    <w:rsid w:val="0072661A"/>
    <w:rsid w:val="00726C30"/>
    <w:rsid w:val="00730EFF"/>
    <w:rsid w:val="007314A7"/>
    <w:rsid w:val="00731FAD"/>
    <w:rsid w:val="0073564F"/>
    <w:rsid w:val="00735B2C"/>
    <w:rsid w:val="0073609F"/>
    <w:rsid w:val="00737559"/>
    <w:rsid w:val="0074015A"/>
    <w:rsid w:val="007403CA"/>
    <w:rsid w:val="0074135A"/>
    <w:rsid w:val="007418CF"/>
    <w:rsid w:val="00741CB3"/>
    <w:rsid w:val="007428EA"/>
    <w:rsid w:val="00743747"/>
    <w:rsid w:val="007437A7"/>
    <w:rsid w:val="00743BD6"/>
    <w:rsid w:val="00744542"/>
    <w:rsid w:val="00744BD7"/>
    <w:rsid w:val="00745D12"/>
    <w:rsid w:val="00746DE5"/>
    <w:rsid w:val="00747722"/>
    <w:rsid w:val="00750479"/>
    <w:rsid w:val="007510B7"/>
    <w:rsid w:val="007518BE"/>
    <w:rsid w:val="00751D28"/>
    <w:rsid w:val="00753075"/>
    <w:rsid w:val="0075418E"/>
    <w:rsid w:val="00754838"/>
    <w:rsid w:val="00757FC3"/>
    <w:rsid w:val="0076177C"/>
    <w:rsid w:val="00761EA5"/>
    <w:rsid w:val="00763C87"/>
    <w:rsid w:val="007644DE"/>
    <w:rsid w:val="00764E31"/>
    <w:rsid w:val="00765949"/>
    <w:rsid w:val="0076716D"/>
    <w:rsid w:val="007671A8"/>
    <w:rsid w:val="00771AF5"/>
    <w:rsid w:val="00771CA0"/>
    <w:rsid w:val="00772742"/>
    <w:rsid w:val="00772821"/>
    <w:rsid w:val="0077340D"/>
    <w:rsid w:val="00773925"/>
    <w:rsid w:val="00776064"/>
    <w:rsid w:val="00777A9B"/>
    <w:rsid w:val="007801C2"/>
    <w:rsid w:val="0078108A"/>
    <w:rsid w:val="00781152"/>
    <w:rsid w:val="0078275B"/>
    <w:rsid w:val="00783251"/>
    <w:rsid w:val="00783D5E"/>
    <w:rsid w:val="00784117"/>
    <w:rsid w:val="00784FE0"/>
    <w:rsid w:val="007860F9"/>
    <w:rsid w:val="00791181"/>
    <w:rsid w:val="00791352"/>
    <w:rsid w:val="007920B7"/>
    <w:rsid w:val="00793002"/>
    <w:rsid w:val="007935B5"/>
    <w:rsid w:val="00793A47"/>
    <w:rsid w:val="00794AAB"/>
    <w:rsid w:val="007A4D23"/>
    <w:rsid w:val="007A7CC5"/>
    <w:rsid w:val="007B0B09"/>
    <w:rsid w:val="007B2D72"/>
    <w:rsid w:val="007B54D9"/>
    <w:rsid w:val="007B55E9"/>
    <w:rsid w:val="007B6B88"/>
    <w:rsid w:val="007B7EB8"/>
    <w:rsid w:val="007C0077"/>
    <w:rsid w:val="007C0E49"/>
    <w:rsid w:val="007C1473"/>
    <w:rsid w:val="007C185A"/>
    <w:rsid w:val="007C6033"/>
    <w:rsid w:val="007C6DD6"/>
    <w:rsid w:val="007C794B"/>
    <w:rsid w:val="007D02A3"/>
    <w:rsid w:val="007D0F9C"/>
    <w:rsid w:val="007D12E6"/>
    <w:rsid w:val="007D1332"/>
    <w:rsid w:val="007D4AB0"/>
    <w:rsid w:val="007D7607"/>
    <w:rsid w:val="007D769C"/>
    <w:rsid w:val="007D7BA9"/>
    <w:rsid w:val="007E0CEA"/>
    <w:rsid w:val="007E19E0"/>
    <w:rsid w:val="007E3046"/>
    <w:rsid w:val="007E37BE"/>
    <w:rsid w:val="007E3B51"/>
    <w:rsid w:val="007E3CE8"/>
    <w:rsid w:val="007E54BC"/>
    <w:rsid w:val="007E6C87"/>
    <w:rsid w:val="007F086F"/>
    <w:rsid w:val="007F0E1E"/>
    <w:rsid w:val="007F1890"/>
    <w:rsid w:val="007F2D33"/>
    <w:rsid w:val="007F32A7"/>
    <w:rsid w:val="007F3B5C"/>
    <w:rsid w:val="007F55AC"/>
    <w:rsid w:val="007F5E10"/>
    <w:rsid w:val="007F62EA"/>
    <w:rsid w:val="007F7C8F"/>
    <w:rsid w:val="0080168B"/>
    <w:rsid w:val="0080184F"/>
    <w:rsid w:val="00801F03"/>
    <w:rsid w:val="00802493"/>
    <w:rsid w:val="00803723"/>
    <w:rsid w:val="00807D4E"/>
    <w:rsid w:val="00810C29"/>
    <w:rsid w:val="008128D1"/>
    <w:rsid w:val="00812D48"/>
    <w:rsid w:val="0081359C"/>
    <w:rsid w:val="00815989"/>
    <w:rsid w:val="00815D74"/>
    <w:rsid w:val="00815E2F"/>
    <w:rsid w:val="008162D6"/>
    <w:rsid w:val="00816505"/>
    <w:rsid w:val="00817DFD"/>
    <w:rsid w:val="0082009D"/>
    <w:rsid w:val="00820C50"/>
    <w:rsid w:val="00822512"/>
    <w:rsid w:val="00823592"/>
    <w:rsid w:val="0082403B"/>
    <w:rsid w:val="00824781"/>
    <w:rsid w:val="0082598F"/>
    <w:rsid w:val="00826206"/>
    <w:rsid w:val="0082795C"/>
    <w:rsid w:val="008301BD"/>
    <w:rsid w:val="00830987"/>
    <w:rsid w:val="00831533"/>
    <w:rsid w:val="00831EEF"/>
    <w:rsid w:val="00832211"/>
    <w:rsid w:val="00834D7A"/>
    <w:rsid w:val="008357E1"/>
    <w:rsid w:val="008359C2"/>
    <w:rsid w:val="00836673"/>
    <w:rsid w:val="00837931"/>
    <w:rsid w:val="00837A32"/>
    <w:rsid w:val="00837EBF"/>
    <w:rsid w:val="00843252"/>
    <w:rsid w:val="00844166"/>
    <w:rsid w:val="00844B8A"/>
    <w:rsid w:val="008458F7"/>
    <w:rsid w:val="0085071E"/>
    <w:rsid w:val="008520B9"/>
    <w:rsid w:val="00852927"/>
    <w:rsid w:val="00853968"/>
    <w:rsid w:val="00853A9A"/>
    <w:rsid w:val="00854E76"/>
    <w:rsid w:val="00855BF2"/>
    <w:rsid w:val="00857171"/>
    <w:rsid w:val="0085736A"/>
    <w:rsid w:val="00857B52"/>
    <w:rsid w:val="00860304"/>
    <w:rsid w:val="008612BD"/>
    <w:rsid w:val="0086225D"/>
    <w:rsid w:val="00862B92"/>
    <w:rsid w:val="0086315C"/>
    <w:rsid w:val="00863CD1"/>
    <w:rsid w:val="008642DC"/>
    <w:rsid w:val="008651F2"/>
    <w:rsid w:val="00865953"/>
    <w:rsid w:val="00865A53"/>
    <w:rsid w:val="0086760C"/>
    <w:rsid w:val="00867DC9"/>
    <w:rsid w:val="0087059B"/>
    <w:rsid w:val="00872855"/>
    <w:rsid w:val="00872F2F"/>
    <w:rsid w:val="00873416"/>
    <w:rsid w:val="00874478"/>
    <w:rsid w:val="0087462F"/>
    <w:rsid w:val="0087489E"/>
    <w:rsid w:val="00874928"/>
    <w:rsid w:val="00874F58"/>
    <w:rsid w:val="0087757C"/>
    <w:rsid w:val="00883880"/>
    <w:rsid w:val="008875D1"/>
    <w:rsid w:val="00887E30"/>
    <w:rsid w:val="0089035B"/>
    <w:rsid w:val="00890FCC"/>
    <w:rsid w:val="00891CAA"/>
    <w:rsid w:val="00892961"/>
    <w:rsid w:val="00893466"/>
    <w:rsid w:val="00894782"/>
    <w:rsid w:val="008949A2"/>
    <w:rsid w:val="008956CC"/>
    <w:rsid w:val="00896517"/>
    <w:rsid w:val="00897D4E"/>
    <w:rsid w:val="008A0232"/>
    <w:rsid w:val="008A02A4"/>
    <w:rsid w:val="008A09FC"/>
    <w:rsid w:val="008A36E0"/>
    <w:rsid w:val="008A3EC1"/>
    <w:rsid w:val="008A4FC8"/>
    <w:rsid w:val="008A5E57"/>
    <w:rsid w:val="008A5EEF"/>
    <w:rsid w:val="008A618D"/>
    <w:rsid w:val="008B0AE8"/>
    <w:rsid w:val="008B0F4D"/>
    <w:rsid w:val="008B1BA2"/>
    <w:rsid w:val="008B37BB"/>
    <w:rsid w:val="008B382D"/>
    <w:rsid w:val="008B3CB5"/>
    <w:rsid w:val="008B4BAA"/>
    <w:rsid w:val="008B618D"/>
    <w:rsid w:val="008B6CAC"/>
    <w:rsid w:val="008C0878"/>
    <w:rsid w:val="008C11BA"/>
    <w:rsid w:val="008C1D60"/>
    <w:rsid w:val="008C2A5D"/>
    <w:rsid w:val="008C2A92"/>
    <w:rsid w:val="008C3442"/>
    <w:rsid w:val="008C3B00"/>
    <w:rsid w:val="008C3BFC"/>
    <w:rsid w:val="008C3E3B"/>
    <w:rsid w:val="008C5A9B"/>
    <w:rsid w:val="008C60E9"/>
    <w:rsid w:val="008C6376"/>
    <w:rsid w:val="008C669E"/>
    <w:rsid w:val="008C7E3D"/>
    <w:rsid w:val="008D14EB"/>
    <w:rsid w:val="008D26E1"/>
    <w:rsid w:val="008D354E"/>
    <w:rsid w:val="008D3F4C"/>
    <w:rsid w:val="008D44E1"/>
    <w:rsid w:val="008D50CE"/>
    <w:rsid w:val="008D69B5"/>
    <w:rsid w:val="008E0E5C"/>
    <w:rsid w:val="008E11A2"/>
    <w:rsid w:val="008E177D"/>
    <w:rsid w:val="008E1BCA"/>
    <w:rsid w:val="008E2A40"/>
    <w:rsid w:val="008E31E9"/>
    <w:rsid w:val="008E5342"/>
    <w:rsid w:val="008E6BBB"/>
    <w:rsid w:val="008F0124"/>
    <w:rsid w:val="008F071C"/>
    <w:rsid w:val="008F15B0"/>
    <w:rsid w:val="008F3200"/>
    <w:rsid w:val="008F380B"/>
    <w:rsid w:val="008F3C23"/>
    <w:rsid w:val="008F4BDE"/>
    <w:rsid w:val="008F5493"/>
    <w:rsid w:val="008F6B5D"/>
    <w:rsid w:val="008F6EED"/>
    <w:rsid w:val="008F7610"/>
    <w:rsid w:val="008F79CC"/>
    <w:rsid w:val="00900F9B"/>
    <w:rsid w:val="00901327"/>
    <w:rsid w:val="00901A8E"/>
    <w:rsid w:val="00902935"/>
    <w:rsid w:val="0090317A"/>
    <w:rsid w:val="0090374A"/>
    <w:rsid w:val="00904188"/>
    <w:rsid w:val="0090441C"/>
    <w:rsid w:val="00904487"/>
    <w:rsid w:val="0090483A"/>
    <w:rsid w:val="009064EB"/>
    <w:rsid w:val="0090689E"/>
    <w:rsid w:val="00907C35"/>
    <w:rsid w:val="009106BA"/>
    <w:rsid w:val="0091204F"/>
    <w:rsid w:val="009131D2"/>
    <w:rsid w:val="009140D0"/>
    <w:rsid w:val="00914290"/>
    <w:rsid w:val="0091543B"/>
    <w:rsid w:val="00917279"/>
    <w:rsid w:val="00921620"/>
    <w:rsid w:val="00923552"/>
    <w:rsid w:val="009241CD"/>
    <w:rsid w:val="009243E2"/>
    <w:rsid w:val="00930751"/>
    <w:rsid w:val="009328CC"/>
    <w:rsid w:val="00936088"/>
    <w:rsid w:val="0093767B"/>
    <w:rsid w:val="00943783"/>
    <w:rsid w:val="009448FE"/>
    <w:rsid w:val="00944D4B"/>
    <w:rsid w:val="00945A15"/>
    <w:rsid w:val="0094612E"/>
    <w:rsid w:val="0094697D"/>
    <w:rsid w:val="00950F0C"/>
    <w:rsid w:val="00951E3C"/>
    <w:rsid w:val="00954074"/>
    <w:rsid w:val="00954522"/>
    <w:rsid w:val="0095462C"/>
    <w:rsid w:val="00954DF6"/>
    <w:rsid w:val="0095575F"/>
    <w:rsid w:val="00955943"/>
    <w:rsid w:val="00955A8B"/>
    <w:rsid w:val="00955C2B"/>
    <w:rsid w:val="00955E02"/>
    <w:rsid w:val="009560CB"/>
    <w:rsid w:val="00960C15"/>
    <w:rsid w:val="009615D7"/>
    <w:rsid w:val="0096221F"/>
    <w:rsid w:val="009637A5"/>
    <w:rsid w:val="00963A6D"/>
    <w:rsid w:val="00964434"/>
    <w:rsid w:val="0096508E"/>
    <w:rsid w:val="009659FF"/>
    <w:rsid w:val="00966C2F"/>
    <w:rsid w:val="00967831"/>
    <w:rsid w:val="00971B09"/>
    <w:rsid w:val="00975048"/>
    <w:rsid w:val="00975498"/>
    <w:rsid w:val="00975596"/>
    <w:rsid w:val="00976401"/>
    <w:rsid w:val="00977934"/>
    <w:rsid w:val="00981C41"/>
    <w:rsid w:val="00983517"/>
    <w:rsid w:val="00983910"/>
    <w:rsid w:val="009849B6"/>
    <w:rsid w:val="00984A1B"/>
    <w:rsid w:val="00987779"/>
    <w:rsid w:val="0099206A"/>
    <w:rsid w:val="009925B6"/>
    <w:rsid w:val="009935B1"/>
    <w:rsid w:val="00993D01"/>
    <w:rsid w:val="0099442D"/>
    <w:rsid w:val="009A019A"/>
    <w:rsid w:val="009A1620"/>
    <w:rsid w:val="009A2451"/>
    <w:rsid w:val="009A2682"/>
    <w:rsid w:val="009A278E"/>
    <w:rsid w:val="009A2E57"/>
    <w:rsid w:val="009A347C"/>
    <w:rsid w:val="009A47E7"/>
    <w:rsid w:val="009A579D"/>
    <w:rsid w:val="009A5E57"/>
    <w:rsid w:val="009B03DE"/>
    <w:rsid w:val="009B134B"/>
    <w:rsid w:val="009B1432"/>
    <w:rsid w:val="009B2CAC"/>
    <w:rsid w:val="009B465A"/>
    <w:rsid w:val="009B710B"/>
    <w:rsid w:val="009B72FA"/>
    <w:rsid w:val="009C0727"/>
    <w:rsid w:val="009C64C3"/>
    <w:rsid w:val="009C7691"/>
    <w:rsid w:val="009D0242"/>
    <w:rsid w:val="009D087A"/>
    <w:rsid w:val="009D14BC"/>
    <w:rsid w:val="009D295B"/>
    <w:rsid w:val="009D30A1"/>
    <w:rsid w:val="009D3888"/>
    <w:rsid w:val="009D4083"/>
    <w:rsid w:val="009D67E7"/>
    <w:rsid w:val="009D6C3C"/>
    <w:rsid w:val="009D70D7"/>
    <w:rsid w:val="009E189D"/>
    <w:rsid w:val="009E1E6A"/>
    <w:rsid w:val="009E1E8A"/>
    <w:rsid w:val="009E449B"/>
    <w:rsid w:val="009E4AD4"/>
    <w:rsid w:val="009E4D12"/>
    <w:rsid w:val="009E75B7"/>
    <w:rsid w:val="009E7DBD"/>
    <w:rsid w:val="009F02A9"/>
    <w:rsid w:val="009F0992"/>
    <w:rsid w:val="009F0B9A"/>
    <w:rsid w:val="009F0E3E"/>
    <w:rsid w:val="009F152E"/>
    <w:rsid w:val="009F1C56"/>
    <w:rsid w:val="009F3D03"/>
    <w:rsid w:val="009F4691"/>
    <w:rsid w:val="009F4900"/>
    <w:rsid w:val="009F4E87"/>
    <w:rsid w:val="00A01054"/>
    <w:rsid w:val="00A0110C"/>
    <w:rsid w:val="00A01544"/>
    <w:rsid w:val="00A02D22"/>
    <w:rsid w:val="00A02DD9"/>
    <w:rsid w:val="00A0357F"/>
    <w:rsid w:val="00A0595A"/>
    <w:rsid w:val="00A078C5"/>
    <w:rsid w:val="00A10708"/>
    <w:rsid w:val="00A10B82"/>
    <w:rsid w:val="00A12436"/>
    <w:rsid w:val="00A152DB"/>
    <w:rsid w:val="00A154EE"/>
    <w:rsid w:val="00A15E51"/>
    <w:rsid w:val="00A169D7"/>
    <w:rsid w:val="00A2081F"/>
    <w:rsid w:val="00A20DD1"/>
    <w:rsid w:val="00A219F6"/>
    <w:rsid w:val="00A234F0"/>
    <w:rsid w:val="00A24BF3"/>
    <w:rsid w:val="00A25570"/>
    <w:rsid w:val="00A275EF"/>
    <w:rsid w:val="00A3036D"/>
    <w:rsid w:val="00A31BCD"/>
    <w:rsid w:val="00A32693"/>
    <w:rsid w:val="00A329AB"/>
    <w:rsid w:val="00A34B69"/>
    <w:rsid w:val="00A35C04"/>
    <w:rsid w:val="00A36ABA"/>
    <w:rsid w:val="00A37219"/>
    <w:rsid w:val="00A4032C"/>
    <w:rsid w:val="00A4100C"/>
    <w:rsid w:val="00A41F00"/>
    <w:rsid w:val="00A41FD3"/>
    <w:rsid w:val="00A4354B"/>
    <w:rsid w:val="00A445F3"/>
    <w:rsid w:val="00A4709B"/>
    <w:rsid w:val="00A50E0E"/>
    <w:rsid w:val="00A51A9E"/>
    <w:rsid w:val="00A520EA"/>
    <w:rsid w:val="00A522F0"/>
    <w:rsid w:val="00A52428"/>
    <w:rsid w:val="00A5255F"/>
    <w:rsid w:val="00A52923"/>
    <w:rsid w:val="00A53174"/>
    <w:rsid w:val="00A54019"/>
    <w:rsid w:val="00A551C0"/>
    <w:rsid w:val="00A55380"/>
    <w:rsid w:val="00A55A80"/>
    <w:rsid w:val="00A566E3"/>
    <w:rsid w:val="00A56E39"/>
    <w:rsid w:val="00A63C98"/>
    <w:rsid w:val="00A64E33"/>
    <w:rsid w:val="00A64E87"/>
    <w:rsid w:val="00A6569F"/>
    <w:rsid w:val="00A6590A"/>
    <w:rsid w:val="00A66CB6"/>
    <w:rsid w:val="00A67DE5"/>
    <w:rsid w:val="00A7008F"/>
    <w:rsid w:val="00A71225"/>
    <w:rsid w:val="00A74C22"/>
    <w:rsid w:val="00A75177"/>
    <w:rsid w:val="00A756AA"/>
    <w:rsid w:val="00A765B1"/>
    <w:rsid w:val="00A77488"/>
    <w:rsid w:val="00A8078E"/>
    <w:rsid w:val="00A814D0"/>
    <w:rsid w:val="00A81B15"/>
    <w:rsid w:val="00A81B91"/>
    <w:rsid w:val="00A829DD"/>
    <w:rsid w:val="00A82DC5"/>
    <w:rsid w:val="00A8485D"/>
    <w:rsid w:val="00A85373"/>
    <w:rsid w:val="00A858E6"/>
    <w:rsid w:val="00A85D71"/>
    <w:rsid w:val="00A85DBC"/>
    <w:rsid w:val="00A86B83"/>
    <w:rsid w:val="00A91209"/>
    <w:rsid w:val="00A91E40"/>
    <w:rsid w:val="00A91E4E"/>
    <w:rsid w:val="00A92763"/>
    <w:rsid w:val="00A93808"/>
    <w:rsid w:val="00A95C65"/>
    <w:rsid w:val="00AA127E"/>
    <w:rsid w:val="00AA1E31"/>
    <w:rsid w:val="00AA3680"/>
    <w:rsid w:val="00AA422A"/>
    <w:rsid w:val="00AA58D6"/>
    <w:rsid w:val="00AA63BB"/>
    <w:rsid w:val="00AB2AA5"/>
    <w:rsid w:val="00AB2D59"/>
    <w:rsid w:val="00AB5659"/>
    <w:rsid w:val="00AB602F"/>
    <w:rsid w:val="00AB6E69"/>
    <w:rsid w:val="00AB71FD"/>
    <w:rsid w:val="00AC0B1D"/>
    <w:rsid w:val="00AC1DE0"/>
    <w:rsid w:val="00AC35A8"/>
    <w:rsid w:val="00AC47B6"/>
    <w:rsid w:val="00AC5332"/>
    <w:rsid w:val="00AC5487"/>
    <w:rsid w:val="00AC6325"/>
    <w:rsid w:val="00AC66AC"/>
    <w:rsid w:val="00AC70B9"/>
    <w:rsid w:val="00AD4D40"/>
    <w:rsid w:val="00AD52B1"/>
    <w:rsid w:val="00AD52BA"/>
    <w:rsid w:val="00AD650B"/>
    <w:rsid w:val="00AE0825"/>
    <w:rsid w:val="00AE11B9"/>
    <w:rsid w:val="00AE120C"/>
    <w:rsid w:val="00AE1FEF"/>
    <w:rsid w:val="00AE29DF"/>
    <w:rsid w:val="00AE46F7"/>
    <w:rsid w:val="00AE56BB"/>
    <w:rsid w:val="00AE78E1"/>
    <w:rsid w:val="00AE7A4A"/>
    <w:rsid w:val="00AF16C8"/>
    <w:rsid w:val="00AF1A67"/>
    <w:rsid w:val="00AF42CB"/>
    <w:rsid w:val="00AF5453"/>
    <w:rsid w:val="00AF77FD"/>
    <w:rsid w:val="00B0054D"/>
    <w:rsid w:val="00B00D97"/>
    <w:rsid w:val="00B0241A"/>
    <w:rsid w:val="00B027B5"/>
    <w:rsid w:val="00B06014"/>
    <w:rsid w:val="00B0660C"/>
    <w:rsid w:val="00B06B6F"/>
    <w:rsid w:val="00B07D7B"/>
    <w:rsid w:val="00B10B7E"/>
    <w:rsid w:val="00B10BF5"/>
    <w:rsid w:val="00B111B8"/>
    <w:rsid w:val="00B112EF"/>
    <w:rsid w:val="00B11BA6"/>
    <w:rsid w:val="00B13CFA"/>
    <w:rsid w:val="00B14CCD"/>
    <w:rsid w:val="00B1773B"/>
    <w:rsid w:val="00B177E5"/>
    <w:rsid w:val="00B17DAA"/>
    <w:rsid w:val="00B2017A"/>
    <w:rsid w:val="00B20319"/>
    <w:rsid w:val="00B20A6E"/>
    <w:rsid w:val="00B20E7E"/>
    <w:rsid w:val="00B214D7"/>
    <w:rsid w:val="00B21FA9"/>
    <w:rsid w:val="00B23CBD"/>
    <w:rsid w:val="00B2532A"/>
    <w:rsid w:val="00B256FD"/>
    <w:rsid w:val="00B2770C"/>
    <w:rsid w:val="00B27F9F"/>
    <w:rsid w:val="00B300C3"/>
    <w:rsid w:val="00B30627"/>
    <w:rsid w:val="00B306EA"/>
    <w:rsid w:val="00B3269E"/>
    <w:rsid w:val="00B33106"/>
    <w:rsid w:val="00B3463A"/>
    <w:rsid w:val="00B34BA9"/>
    <w:rsid w:val="00B34E41"/>
    <w:rsid w:val="00B379D8"/>
    <w:rsid w:val="00B4098D"/>
    <w:rsid w:val="00B42D47"/>
    <w:rsid w:val="00B450D1"/>
    <w:rsid w:val="00B45322"/>
    <w:rsid w:val="00B47A69"/>
    <w:rsid w:val="00B50088"/>
    <w:rsid w:val="00B51542"/>
    <w:rsid w:val="00B53129"/>
    <w:rsid w:val="00B53359"/>
    <w:rsid w:val="00B5461D"/>
    <w:rsid w:val="00B5469F"/>
    <w:rsid w:val="00B546B6"/>
    <w:rsid w:val="00B54EA4"/>
    <w:rsid w:val="00B56569"/>
    <w:rsid w:val="00B56B4F"/>
    <w:rsid w:val="00B57086"/>
    <w:rsid w:val="00B5715A"/>
    <w:rsid w:val="00B604D4"/>
    <w:rsid w:val="00B609D8"/>
    <w:rsid w:val="00B60BC0"/>
    <w:rsid w:val="00B61E6C"/>
    <w:rsid w:val="00B628B3"/>
    <w:rsid w:val="00B62CD7"/>
    <w:rsid w:val="00B664FC"/>
    <w:rsid w:val="00B67E76"/>
    <w:rsid w:val="00B705F5"/>
    <w:rsid w:val="00B70E29"/>
    <w:rsid w:val="00B71ACA"/>
    <w:rsid w:val="00B721E5"/>
    <w:rsid w:val="00B73154"/>
    <w:rsid w:val="00B752B0"/>
    <w:rsid w:val="00B771A6"/>
    <w:rsid w:val="00B7784E"/>
    <w:rsid w:val="00B809A2"/>
    <w:rsid w:val="00B80F90"/>
    <w:rsid w:val="00B82065"/>
    <w:rsid w:val="00B82870"/>
    <w:rsid w:val="00B828B9"/>
    <w:rsid w:val="00B8292D"/>
    <w:rsid w:val="00B83CE7"/>
    <w:rsid w:val="00B8446C"/>
    <w:rsid w:val="00B8523B"/>
    <w:rsid w:val="00B85EF6"/>
    <w:rsid w:val="00B860B9"/>
    <w:rsid w:val="00B87903"/>
    <w:rsid w:val="00B879E9"/>
    <w:rsid w:val="00B87B6C"/>
    <w:rsid w:val="00B909CA"/>
    <w:rsid w:val="00B910FF"/>
    <w:rsid w:val="00B91168"/>
    <w:rsid w:val="00B934D4"/>
    <w:rsid w:val="00B94136"/>
    <w:rsid w:val="00B95577"/>
    <w:rsid w:val="00B96148"/>
    <w:rsid w:val="00B965FC"/>
    <w:rsid w:val="00BA12ED"/>
    <w:rsid w:val="00BA1ABF"/>
    <w:rsid w:val="00BA1BCF"/>
    <w:rsid w:val="00BA3702"/>
    <w:rsid w:val="00BA39EF"/>
    <w:rsid w:val="00BA5A71"/>
    <w:rsid w:val="00BA6C6E"/>
    <w:rsid w:val="00BA6D33"/>
    <w:rsid w:val="00BA7F87"/>
    <w:rsid w:val="00BB0261"/>
    <w:rsid w:val="00BB0427"/>
    <w:rsid w:val="00BB142C"/>
    <w:rsid w:val="00BB1E9B"/>
    <w:rsid w:val="00BB3DBB"/>
    <w:rsid w:val="00BB3DFF"/>
    <w:rsid w:val="00BB4523"/>
    <w:rsid w:val="00BB4BD9"/>
    <w:rsid w:val="00BB5041"/>
    <w:rsid w:val="00BB6469"/>
    <w:rsid w:val="00BB7E52"/>
    <w:rsid w:val="00BC02C8"/>
    <w:rsid w:val="00BC0A28"/>
    <w:rsid w:val="00BC0F87"/>
    <w:rsid w:val="00BC1ED3"/>
    <w:rsid w:val="00BC217F"/>
    <w:rsid w:val="00BC430B"/>
    <w:rsid w:val="00BC64B2"/>
    <w:rsid w:val="00BC6CA4"/>
    <w:rsid w:val="00BC7C82"/>
    <w:rsid w:val="00BD2910"/>
    <w:rsid w:val="00BD2DC3"/>
    <w:rsid w:val="00BD38E1"/>
    <w:rsid w:val="00BD41CC"/>
    <w:rsid w:val="00BD4DDB"/>
    <w:rsid w:val="00BD58CD"/>
    <w:rsid w:val="00BD6500"/>
    <w:rsid w:val="00BD6D67"/>
    <w:rsid w:val="00BD78A8"/>
    <w:rsid w:val="00BD791E"/>
    <w:rsid w:val="00BE0489"/>
    <w:rsid w:val="00BE2152"/>
    <w:rsid w:val="00BE2338"/>
    <w:rsid w:val="00BE2B1A"/>
    <w:rsid w:val="00BE3BD2"/>
    <w:rsid w:val="00BE3E91"/>
    <w:rsid w:val="00BE4C18"/>
    <w:rsid w:val="00BE7DB4"/>
    <w:rsid w:val="00BF1F30"/>
    <w:rsid w:val="00BF2C9B"/>
    <w:rsid w:val="00BF4E40"/>
    <w:rsid w:val="00BF5D84"/>
    <w:rsid w:val="00BF6F01"/>
    <w:rsid w:val="00C00F69"/>
    <w:rsid w:val="00C02167"/>
    <w:rsid w:val="00C02369"/>
    <w:rsid w:val="00C02377"/>
    <w:rsid w:val="00C04865"/>
    <w:rsid w:val="00C06FC1"/>
    <w:rsid w:val="00C06FE1"/>
    <w:rsid w:val="00C11BAB"/>
    <w:rsid w:val="00C132B7"/>
    <w:rsid w:val="00C154F7"/>
    <w:rsid w:val="00C16577"/>
    <w:rsid w:val="00C16C5A"/>
    <w:rsid w:val="00C16FF5"/>
    <w:rsid w:val="00C217EF"/>
    <w:rsid w:val="00C22362"/>
    <w:rsid w:val="00C2366B"/>
    <w:rsid w:val="00C2385A"/>
    <w:rsid w:val="00C2558B"/>
    <w:rsid w:val="00C25AF4"/>
    <w:rsid w:val="00C25FAE"/>
    <w:rsid w:val="00C305A5"/>
    <w:rsid w:val="00C30821"/>
    <w:rsid w:val="00C30A29"/>
    <w:rsid w:val="00C30EA4"/>
    <w:rsid w:val="00C31006"/>
    <w:rsid w:val="00C32A19"/>
    <w:rsid w:val="00C34210"/>
    <w:rsid w:val="00C359F8"/>
    <w:rsid w:val="00C37CD2"/>
    <w:rsid w:val="00C41A76"/>
    <w:rsid w:val="00C444FF"/>
    <w:rsid w:val="00C44924"/>
    <w:rsid w:val="00C44E67"/>
    <w:rsid w:val="00C45BD4"/>
    <w:rsid w:val="00C47FB1"/>
    <w:rsid w:val="00C50676"/>
    <w:rsid w:val="00C513C0"/>
    <w:rsid w:val="00C524BE"/>
    <w:rsid w:val="00C52BDA"/>
    <w:rsid w:val="00C559CC"/>
    <w:rsid w:val="00C55A94"/>
    <w:rsid w:val="00C6225B"/>
    <w:rsid w:val="00C6237F"/>
    <w:rsid w:val="00C66186"/>
    <w:rsid w:val="00C66897"/>
    <w:rsid w:val="00C66ECA"/>
    <w:rsid w:val="00C66F71"/>
    <w:rsid w:val="00C70FFB"/>
    <w:rsid w:val="00C7254C"/>
    <w:rsid w:val="00C73BC8"/>
    <w:rsid w:val="00C742E4"/>
    <w:rsid w:val="00C74308"/>
    <w:rsid w:val="00C77046"/>
    <w:rsid w:val="00C773D8"/>
    <w:rsid w:val="00C8023D"/>
    <w:rsid w:val="00C81445"/>
    <w:rsid w:val="00C81936"/>
    <w:rsid w:val="00C81DF2"/>
    <w:rsid w:val="00C81F3B"/>
    <w:rsid w:val="00C82277"/>
    <w:rsid w:val="00C83888"/>
    <w:rsid w:val="00C83C97"/>
    <w:rsid w:val="00C8492D"/>
    <w:rsid w:val="00C86377"/>
    <w:rsid w:val="00C90A80"/>
    <w:rsid w:val="00C90E68"/>
    <w:rsid w:val="00C92E43"/>
    <w:rsid w:val="00C93A2E"/>
    <w:rsid w:val="00C948E3"/>
    <w:rsid w:val="00C964AE"/>
    <w:rsid w:val="00CA188E"/>
    <w:rsid w:val="00CA3DB0"/>
    <w:rsid w:val="00CA59EE"/>
    <w:rsid w:val="00CA648F"/>
    <w:rsid w:val="00CA7122"/>
    <w:rsid w:val="00CA7554"/>
    <w:rsid w:val="00CA762D"/>
    <w:rsid w:val="00CA7CC3"/>
    <w:rsid w:val="00CB0504"/>
    <w:rsid w:val="00CB0A2C"/>
    <w:rsid w:val="00CB3A55"/>
    <w:rsid w:val="00CB424D"/>
    <w:rsid w:val="00CB4372"/>
    <w:rsid w:val="00CB5A7C"/>
    <w:rsid w:val="00CB6683"/>
    <w:rsid w:val="00CB7B32"/>
    <w:rsid w:val="00CC2BCE"/>
    <w:rsid w:val="00CC2C80"/>
    <w:rsid w:val="00CC32A2"/>
    <w:rsid w:val="00CC711B"/>
    <w:rsid w:val="00CD141A"/>
    <w:rsid w:val="00CD19AA"/>
    <w:rsid w:val="00CD1ABC"/>
    <w:rsid w:val="00CD1D3B"/>
    <w:rsid w:val="00CD230D"/>
    <w:rsid w:val="00CD26E8"/>
    <w:rsid w:val="00CD2C27"/>
    <w:rsid w:val="00CD2E36"/>
    <w:rsid w:val="00CD3EBB"/>
    <w:rsid w:val="00CD6646"/>
    <w:rsid w:val="00CD6B7F"/>
    <w:rsid w:val="00CE09A3"/>
    <w:rsid w:val="00CE215B"/>
    <w:rsid w:val="00CE38D2"/>
    <w:rsid w:val="00CE3C2C"/>
    <w:rsid w:val="00CE4905"/>
    <w:rsid w:val="00CE6CCF"/>
    <w:rsid w:val="00CE7746"/>
    <w:rsid w:val="00CE7AEF"/>
    <w:rsid w:val="00CE7B9B"/>
    <w:rsid w:val="00CF35F4"/>
    <w:rsid w:val="00CF3D40"/>
    <w:rsid w:val="00CF4264"/>
    <w:rsid w:val="00CF5FA8"/>
    <w:rsid w:val="00CF60CE"/>
    <w:rsid w:val="00CF675E"/>
    <w:rsid w:val="00D033E4"/>
    <w:rsid w:val="00D04B17"/>
    <w:rsid w:val="00D05D62"/>
    <w:rsid w:val="00D05D8B"/>
    <w:rsid w:val="00D05F51"/>
    <w:rsid w:val="00D05FFB"/>
    <w:rsid w:val="00D07663"/>
    <w:rsid w:val="00D10B52"/>
    <w:rsid w:val="00D1160F"/>
    <w:rsid w:val="00D121AC"/>
    <w:rsid w:val="00D1435C"/>
    <w:rsid w:val="00D15F6A"/>
    <w:rsid w:val="00D164B7"/>
    <w:rsid w:val="00D16779"/>
    <w:rsid w:val="00D174AE"/>
    <w:rsid w:val="00D205BB"/>
    <w:rsid w:val="00D213C7"/>
    <w:rsid w:val="00D22BB5"/>
    <w:rsid w:val="00D23A8C"/>
    <w:rsid w:val="00D2461E"/>
    <w:rsid w:val="00D24BAD"/>
    <w:rsid w:val="00D24D0D"/>
    <w:rsid w:val="00D25708"/>
    <w:rsid w:val="00D26472"/>
    <w:rsid w:val="00D26DD0"/>
    <w:rsid w:val="00D272EC"/>
    <w:rsid w:val="00D32900"/>
    <w:rsid w:val="00D33C97"/>
    <w:rsid w:val="00D3468B"/>
    <w:rsid w:val="00D34E97"/>
    <w:rsid w:val="00D354E1"/>
    <w:rsid w:val="00D35F08"/>
    <w:rsid w:val="00D36391"/>
    <w:rsid w:val="00D367AF"/>
    <w:rsid w:val="00D36E55"/>
    <w:rsid w:val="00D4313E"/>
    <w:rsid w:val="00D43979"/>
    <w:rsid w:val="00D43C41"/>
    <w:rsid w:val="00D447D1"/>
    <w:rsid w:val="00D45141"/>
    <w:rsid w:val="00D45215"/>
    <w:rsid w:val="00D45850"/>
    <w:rsid w:val="00D45FD5"/>
    <w:rsid w:val="00D46AF6"/>
    <w:rsid w:val="00D505CD"/>
    <w:rsid w:val="00D5065F"/>
    <w:rsid w:val="00D520E4"/>
    <w:rsid w:val="00D5238E"/>
    <w:rsid w:val="00D52A8E"/>
    <w:rsid w:val="00D54071"/>
    <w:rsid w:val="00D552CC"/>
    <w:rsid w:val="00D55941"/>
    <w:rsid w:val="00D559D2"/>
    <w:rsid w:val="00D55B60"/>
    <w:rsid w:val="00D561E8"/>
    <w:rsid w:val="00D56306"/>
    <w:rsid w:val="00D564AA"/>
    <w:rsid w:val="00D567FC"/>
    <w:rsid w:val="00D56AB7"/>
    <w:rsid w:val="00D5721D"/>
    <w:rsid w:val="00D57DFA"/>
    <w:rsid w:val="00D60D85"/>
    <w:rsid w:val="00D6255A"/>
    <w:rsid w:val="00D64952"/>
    <w:rsid w:val="00D66DA2"/>
    <w:rsid w:val="00D67279"/>
    <w:rsid w:val="00D70EE6"/>
    <w:rsid w:val="00D71C66"/>
    <w:rsid w:val="00D72624"/>
    <w:rsid w:val="00D73244"/>
    <w:rsid w:val="00D73A8E"/>
    <w:rsid w:val="00D752BE"/>
    <w:rsid w:val="00D76B29"/>
    <w:rsid w:val="00D7750F"/>
    <w:rsid w:val="00D7767C"/>
    <w:rsid w:val="00D77741"/>
    <w:rsid w:val="00D802D4"/>
    <w:rsid w:val="00D804A7"/>
    <w:rsid w:val="00D835BE"/>
    <w:rsid w:val="00D86FF5"/>
    <w:rsid w:val="00D9031D"/>
    <w:rsid w:val="00D907EF"/>
    <w:rsid w:val="00D90B6A"/>
    <w:rsid w:val="00D9186A"/>
    <w:rsid w:val="00D942B1"/>
    <w:rsid w:val="00D94582"/>
    <w:rsid w:val="00D953DA"/>
    <w:rsid w:val="00D95924"/>
    <w:rsid w:val="00D97A63"/>
    <w:rsid w:val="00D97DA3"/>
    <w:rsid w:val="00DA033B"/>
    <w:rsid w:val="00DA33B9"/>
    <w:rsid w:val="00DA41AF"/>
    <w:rsid w:val="00DA42CD"/>
    <w:rsid w:val="00DA51CB"/>
    <w:rsid w:val="00DA54B9"/>
    <w:rsid w:val="00DA58F6"/>
    <w:rsid w:val="00DA6B4A"/>
    <w:rsid w:val="00DA7D98"/>
    <w:rsid w:val="00DB0F0F"/>
    <w:rsid w:val="00DB3A71"/>
    <w:rsid w:val="00DB662D"/>
    <w:rsid w:val="00DC1163"/>
    <w:rsid w:val="00DC3BCB"/>
    <w:rsid w:val="00DC428B"/>
    <w:rsid w:val="00DC58E4"/>
    <w:rsid w:val="00DC74A5"/>
    <w:rsid w:val="00DD031B"/>
    <w:rsid w:val="00DD0B98"/>
    <w:rsid w:val="00DD0C2C"/>
    <w:rsid w:val="00DD1AA4"/>
    <w:rsid w:val="00DD2BD0"/>
    <w:rsid w:val="00DD4C03"/>
    <w:rsid w:val="00DD507E"/>
    <w:rsid w:val="00DD5DC5"/>
    <w:rsid w:val="00DD619A"/>
    <w:rsid w:val="00DD69DC"/>
    <w:rsid w:val="00DD6C37"/>
    <w:rsid w:val="00DE0FCE"/>
    <w:rsid w:val="00DE12F7"/>
    <w:rsid w:val="00DE1457"/>
    <w:rsid w:val="00DE174B"/>
    <w:rsid w:val="00DE18A2"/>
    <w:rsid w:val="00DE2BB2"/>
    <w:rsid w:val="00DE378B"/>
    <w:rsid w:val="00DE3E45"/>
    <w:rsid w:val="00DE3EBD"/>
    <w:rsid w:val="00DE4214"/>
    <w:rsid w:val="00DE6765"/>
    <w:rsid w:val="00DE70EF"/>
    <w:rsid w:val="00DF1F28"/>
    <w:rsid w:val="00DF25A9"/>
    <w:rsid w:val="00DF277E"/>
    <w:rsid w:val="00DF472D"/>
    <w:rsid w:val="00DF5CC6"/>
    <w:rsid w:val="00DF671D"/>
    <w:rsid w:val="00DF6C6C"/>
    <w:rsid w:val="00DF75BF"/>
    <w:rsid w:val="00E01F90"/>
    <w:rsid w:val="00E0395D"/>
    <w:rsid w:val="00E04097"/>
    <w:rsid w:val="00E04577"/>
    <w:rsid w:val="00E046ED"/>
    <w:rsid w:val="00E048C4"/>
    <w:rsid w:val="00E068DB"/>
    <w:rsid w:val="00E0690C"/>
    <w:rsid w:val="00E07C61"/>
    <w:rsid w:val="00E10AD7"/>
    <w:rsid w:val="00E11EF4"/>
    <w:rsid w:val="00E13467"/>
    <w:rsid w:val="00E14085"/>
    <w:rsid w:val="00E14C58"/>
    <w:rsid w:val="00E16C4F"/>
    <w:rsid w:val="00E17942"/>
    <w:rsid w:val="00E20A0A"/>
    <w:rsid w:val="00E21821"/>
    <w:rsid w:val="00E22AB6"/>
    <w:rsid w:val="00E22F9D"/>
    <w:rsid w:val="00E22FB8"/>
    <w:rsid w:val="00E23159"/>
    <w:rsid w:val="00E25C18"/>
    <w:rsid w:val="00E26E16"/>
    <w:rsid w:val="00E32066"/>
    <w:rsid w:val="00E32650"/>
    <w:rsid w:val="00E34D20"/>
    <w:rsid w:val="00E354FA"/>
    <w:rsid w:val="00E356E2"/>
    <w:rsid w:val="00E41558"/>
    <w:rsid w:val="00E42A5A"/>
    <w:rsid w:val="00E43395"/>
    <w:rsid w:val="00E449FE"/>
    <w:rsid w:val="00E453AE"/>
    <w:rsid w:val="00E45F4B"/>
    <w:rsid w:val="00E5084A"/>
    <w:rsid w:val="00E51485"/>
    <w:rsid w:val="00E52190"/>
    <w:rsid w:val="00E535EC"/>
    <w:rsid w:val="00E54D72"/>
    <w:rsid w:val="00E55944"/>
    <w:rsid w:val="00E55ABC"/>
    <w:rsid w:val="00E56162"/>
    <w:rsid w:val="00E56639"/>
    <w:rsid w:val="00E57B74"/>
    <w:rsid w:val="00E607DB"/>
    <w:rsid w:val="00E61A44"/>
    <w:rsid w:val="00E61C84"/>
    <w:rsid w:val="00E62088"/>
    <w:rsid w:val="00E630C6"/>
    <w:rsid w:val="00E66FAE"/>
    <w:rsid w:val="00E673BB"/>
    <w:rsid w:val="00E702F3"/>
    <w:rsid w:val="00E70D80"/>
    <w:rsid w:val="00E713BE"/>
    <w:rsid w:val="00E717A5"/>
    <w:rsid w:val="00E80AA3"/>
    <w:rsid w:val="00E81636"/>
    <w:rsid w:val="00E822BA"/>
    <w:rsid w:val="00E83583"/>
    <w:rsid w:val="00E850BC"/>
    <w:rsid w:val="00E856BA"/>
    <w:rsid w:val="00E8629F"/>
    <w:rsid w:val="00E86718"/>
    <w:rsid w:val="00E87634"/>
    <w:rsid w:val="00E93697"/>
    <w:rsid w:val="00EA172C"/>
    <w:rsid w:val="00EA1E1D"/>
    <w:rsid w:val="00EA3C24"/>
    <w:rsid w:val="00EA4428"/>
    <w:rsid w:val="00EA4465"/>
    <w:rsid w:val="00EA497A"/>
    <w:rsid w:val="00EA5997"/>
    <w:rsid w:val="00EA5E4B"/>
    <w:rsid w:val="00EA6C08"/>
    <w:rsid w:val="00EB01EA"/>
    <w:rsid w:val="00EB0BFA"/>
    <w:rsid w:val="00EB0CE9"/>
    <w:rsid w:val="00EB1F08"/>
    <w:rsid w:val="00EB2D21"/>
    <w:rsid w:val="00EB3664"/>
    <w:rsid w:val="00EB401F"/>
    <w:rsid w:val="00EB5323"/>
    <w:rsid w:val="00EB69A6"/>
    <w:rsid w:val="00EB776E"/>
    <w:rsid w:val="00EB7F59"/>
    <w:rsid w:val="00EC08F0"/>
    <w:rsid w:val="00EC5035"/>
    <w:rsid w:val="00EC565F"/>
    <w:rsid w:val="00EC7935"/>
    <w:rsid w:val="00ED03F4"/>
    <w:rsid w:val="00ED066D"/>
    <w:rsid w:val="00ED0B96"/>
    <w:rsid w:val="00ED243A"/>
    <w:rsid w:val="00ED25E4"/>
    <w:rsid w:val="00ED32E3"/>
    <w:rsid w:val="00EE15C1"/>
    <w:rsid w:val="00EE1BF3"/>
    <w:rsid w:val="00EE2BDD"/>
    <w:rsid w:val="00EE3045"/>
    <w:rsid w:val="00EE3E05"/>
    <w:rsid w:val="00EE52FC"/>
    <w:rsid w:val="00EE56F6"/>
    <w:rsid w:val="00EE5B78"/>
    <w:rsid w:val="00EE5D91"/>
    <w:rsid w:val="00EE6164"/>
    <w:rsid w:val="00EE6A5F"/>
    <w:rsid w:val="00EE748A"/>
    <w:rsid w:val="00EE78ED"/>
    <w:rsid w:val="00EE7FD7"/>
    <w:rsid w:val="00EF35AE"/>
    <w:rsid w:val="00EF48EA"/>
    <w:rsid w:val="00EF49E9"/>
    <w:rsid w:val="00EF5489"/>
    <w:rsid w:val="00EF5BB6"/>
    <w:rsid w:val="00EF5DA7"/>
    <w:rsid w:val="00EF7893"/>
    <w:rsid w:val="00EF7FB6"/>
    <w:rsid w:val="00F01045"/>
    <w:rsid w:val="00F02B54"/>
    <w:rsid w:val="00F035EB"/>
    <w:rsid w:val="00F04044"/>
    <w:rsid w:val="00F04D06"/>
    <w:rsid w:val="00F05D0B"/>
    <w:rsid w:val="00F0609A"/>
    <w:rsid w:val="00F065E9"/>
    <w:rsid w:val="00F067BC"/>
    <w:rsid w:val="00F06A13"/>
    <w:rsid w:val="00F072D8"/>
    <w:rsid w:val="00F105B4"/>
    <w:rsid w:val="00F10DF7"/>
    <w:rsid w:val="00F11FEF"/>
    <w:rsid w:val="00F120CC"/>
    <w:rsid w:val="00F12126"/>
    <w:rsid w:val="00F12D2F"/>
    <w:rsid w:val="00F1477C"/>
    <w:rsid w:val="00F14DCA"/>
    <w:rsid w:val="00F15241"/>
    <w:rsid w:val="00F17661"/>
    <w:rsid w:val="00F20A0A"/>
    <w:rsid w:val="00F214EF"/>
    <w:rsid w:val="00F21549"/>
    <w:rsid w:val="00F2204C"/>
    <w:rsid w:val="00F23213"/>
    <w:rsid w:val="00F23653"/>
    <w:rsid w:val="00F25D38"/>
    <w:rsid w:val="00F27914"/>
    <w:rsid w:val="00F3253C"/>
    <w:rsid w:val="00F3330D"/>
    <w:rsid w:val="00F3423B"/>
    <w:rsid w:val="00F34B51"/>
    <w:rsid w:val="00F35B54"/>
    <w:rsid w:val="00F36282"/>
    <w:rsid w:val="00F36ABB"/>
    <w:rsid w:val="00F37C2D"/>
    <w:rsid w:val="00F41A78"/>
    <w:rsid w:val="00F44907"/>
    <w:rsid w:val="00F46745"/>
    <w:rsid w:val="00F47598"/>
    <w:rsid w:val="00F50634"/>
    <w:rsid w:val="00F50643"/>
    <w:rsid w:val="00F53122"/>
    <w:rsid w:val="00F53D3F"/>
    <w:rsid w:val="00F55F19"/>
    <w:rsid w:val="00F56659"/>
    <w:rsid w:val="00F56716"/>
    <w:rsid w:val="00F57369"/>
    <w:rsid w:val="00F605C2"/>
    <w:rsid w:val="00F617EC"/>
    <w:rsid w:val="00F6188B"/>
    <w:rsid w:val="00F621C4"/>
    <w:rsid w:val="00F62735"/>
    <w:rsid w:val="00F6331F"/>
    <w:rsid w:val="00F63976"/>
    <w:rsid w:val="00F64143"/>
    <w:rsid w:val="00F641AE"/>
    <w:rsid w:val="00F64B3E"/>
    <w:rsid w:val="00F65259"/>
    <w:rsid w:val="00F6634D"/>
    <w:rsid w:val="00F6753E"/>
    <w:rsid w:val="00F721C5"/>
    <w:rsid w:val="00F7224D"/>
    <w:rsid w:val="00F746FF"/>
    <w:rsid w:val="00F74A35"/>
    <w:rsid w:val="00F74B3A"/>
    <w:rsid w:val="00F75696"/>
    <w:rsid w:val="00F75899"/>
    <w:rsid w:val="00F75A4F"/>
    <w:rsid w:val="00F76971"/>
    <w:rsid w:val="00F76B9A"/>
    <w:rsid w:val="00F76FA2"/>
    <w:rsid w:val="00F805AE"/>
    <w:rsid w:val="00F80B51"/>
    <w:rsid w:val="00F80E68"/>
    <w:rsid w:val="00F81638"/>
    <w:rsid w:val="00F8381E"/>
    <w:rsid w:val="00F83C10"/>
    <w:rsid w:val="00F84BEB"/>
    <w:rsid w:val="00F857A3"/>
    <w:rsid w:val="00F85FD0"/>
    <w:rsid w:val="00F871B4"/>
    <w:rsid w:val="00F87529"/>
    <w:rsid w:val="00F87C10"/>
    <w:rsid w:val="00F902C3"/>
    <w:rsid w:val="00F90656"/>
    <w:rsid w:val="00F90D35"/>
    <w:rsid w:val="00F94943"/>
    <w:rsid w:val="00F95112"/>
    <w:rsid w:val="00F9594C"/>
    <w:rsid w:val="00F95BC3"/>
    <w:rsid w:val="00F95D69"/>
    <w:rsid w:val="00F96151"/>
    <w:rsid w:val="00F97654"/>
    <w:rsid w:val="00F9767B"/>
    <w:rsid w:val="00F9790A"/>
    <w:rsid w:val="00FA085E"/>
    <w:rsid w:val="00FA149C"/>
    <w:rsid w:val="00FA1B0C"/>
    <w:rsid w:val="00FA1BF4"/>
    <w:rsid w:val="00FA2B27"/>
    <w:rsid w:val="00FA2E4F"/>
    <w:rsid w:val="00FA3174"/>
    <w:rsid w:val="00FA47B3"/>
    <w:rsid w:val="00FA5C89"/>
    <w:rsid w:val="00FA5C95"/>
    <w:rsid w:val="00FA69A0"/>
    <w:rsid w:val="00FB0688"/>
    <w:rsid w:val="00FB1E20"/>
    <w:rsid w:val="00FB2299"/>
    <w:rsid w:val="00FB2499"/>
    <w:rsid w:val="00FB273E"/>
    <w:rsid w:val="00FB340F"/>
    <w:rsid w:val="00FB5A5F"/>
    <w:rsid w:val="00FB640A"/>
    <w:rsid w:val="00FB6410"/>
    <w:rsid w:val="00FB64AB"/>
    <w:rsid w:val="00FB65CA"/>
    <w:rsid w:val="00FB6BD2"/>
    <w:rsid w:val="00FB6BD6"/>
    <w:rsid w:val="00FC051F"/>
    <w:rsid w:val="00FC14E7"/>
    <w:rsid w:val="00FC1B45"/>
    <w:rsid w:val="00FC3C19"/>
    <w:rsid w:val="00FC46BC"/>
    <w:rsid w:val="00FC5808"/>
    <w:rsid w:val="00FC69A9"/>
    <w:rsid w:val="00FC69F5"/>
    <w:rsid w:val="00FD063A"/>
    <w:rsid w:val="00FD103E"/>
    <w:rsid w:val="00FD3A47"/>
    <w:rsid w:val="00FD45BD"/>
    <w:rsid w:val="00FD498E"/>
    <w:rsid w:val="00FD4DCD"/>
    <w:rsid w:val="00FD4DF8"/>
    <w:rsid w:val="00FD769A"/>
    <w:rsid w:val="00FD7DC7"/>
    <w:rsid w:val="00FE30D7"/>
    <w:rsid w:val="00FE3C4C"/>
    <w:rsid w:val="00FE5943"/>
    <w:rsid w:val="00FE6CF1"/>
    <w:rsid w:val="00FE6F14"/>
    <w:rsid w:val="00FE709C"/>
    <w:rsid w:val="00FE76DD"/>
    <w:rsid w:val="00FF0B5B"/>
    <w:rsid w:val="00FF0BB8"/>
    <w:rsid w:val="00FF0C15"/>
    <w:rsid w:val="00FF380C"/>
    <w:rsid w:val="00FF3EB2"/>
    <w:rsid w:val="00FF4498"/>
    <w:rsid w:val="00FF534F"/>
    <w:rsid w:val="00FF5DA6"/>
    <w:rsid w:val="00FF6A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797875D-9519-4D83-90F3-0F34FB31B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5EE1"/>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en-US"/>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table" w:styleId="TableGrid">
    <w:name w:val="Table Grid"/>
    <w:basedOn w:val="TableNormal"/>
    <w:uiPriority w:val="59"/>
    <w:rsid w:val="00D14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D2F"/>
    <w:rPr>
      <w:rFonts w:ascii="Arial" w:hAnsi="Arial"/>
      <w:sz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5044F3"/>
    <w:rPr>
      <w:lang w:val="en-GB" w:eastAsia="en-US"/>
    </w:rPr>
  </w:style>
  <w:style w:type="paragraph" w:styleId="CommentSubject">
    <w:name w:val="annotation subject"/>
    <w:basedOn w:val="CommentText"/>
    <w:next w:val="CommentText"/>
    <w:link w:val="CommentSubjectChar"/>
    <w:rsid w:val="008F6B5D"/>
    <w:rPr>
      <w:b/>
      <w:bCs/>
    </w:rPr>
  </w:style>
  <w:style w:type="character" w:customStyle="1" w:styleId="CommentTextChar">
    <w:name w:val="Comment Text Char"/>
    <w:link w:val="CommentText"/>
    <w:semiHidden/>
    <w:rsid w:val="008F6B5D"/>
    <w:rPr>
      <w:lang w:val="en-GB" w:eastAsia="en-US"/>
    </w:rPr>
  </w:style>
  <w:style w:type="character" w:customStyle="1" w:styleId="CommentSubjectChar">
    <w:name w:val="Comment Subject Char"/>
    <w:link w:val="CommentSubject"/>
    <w:rsid w:val="008F6B5D"/>
    <w:rPr>
      <w:lang w:val="en-GB" w:eastAsia="en-US"/>
    </w:rPr>
  </w:style>
  <w:style w:type="character" w:customStyle="1" w:styleId="Heading1Char">
    <w:name w:val="Heading 1 Char"/>
    <w:link w:val="Heading1"/>
    <w:rsid w:val="0042338B"/>
    <w:rPr>
      <w:rFonts w:ascii="Arial" w:hAnsi="Arial"/>
      <w:sz w:val="36"/>
      <w:lang w:val="en-GB" w:eastAsia="en-US"/>
    </w:rPr>
  </w:style>
  <w:style w:type="paragraph" w:customStyle="1" w:styleId="DECISION">
    <w:name w:val="DECISION"/>
    <w:basedOn w:val="Normal"/>
    <w:rsid w:val="00AC6325"/>
    <w:pPr>
      <w:widowControl w:val="0"/>
      <w:numPr>
        <w:numId w:val="3"/>
      </w:numPr>
      <w:spacing w:before="120" w:after="120"/>
      <w:jc w:val="both"/>
    </w:pPr>
    <w:rPr>
      <w:rFonts w:ascii="Arial" w:eastAsia="Times New Roman" w:hAnsi="Arial"/>
      <w:b/>
      <w:color w:val="0000FF"/>
      <w:u w:val="single"/>
    </w:rPr>
  </w:style>
  <w:style w:type="character" w:customStyle="1" w:styleId="LGTdocChar">
    <w:name w:val="LGTdoc_본문 Char"/>
    <w:link w:val="LGTdoc"/>
    <w:qFormat/>
    <w:rsid w:val="002E5D19"/>
    <w:rPr>
      <w:kern w:val="2"/>
      <w:sz w:val="22"/>
      <w:szCs w:val="24"/>
      <w:lang w:val="en-GB" w:eastAsia="ko-KR"/>
    </w:rPr>
  </w:style>
  <w:style w:type="paragraph" w:customStyle="1" w:styleId="LGTdoc">
    <w:name w:val="LGTdoc_본문"/>
    <w:basedOn w:val="Normal"/>
    <w:link w:val="LGTdocChar"/>
    <w:qFormat/>
    <w:rsid w:val="002E5D19"/>
    <w:pPr>
      <w:widowControl w:val="0"/>
      <w:autoSpaceDE w:val="0"/>
      <w:autoSpaceDN w:val="0"/>
      <w:adjustRightInd w:val="0"/>
      <w:snapToGrid w:val="0"/>
      <w:spacing w:afterLines="50" w:after="0" w:line="264" w:lineRule="auto"/>
      <w:jc w:val="both"/>
    </w:pPr>
    <w:rPr>
      <w:kern w:val="2"/>
      <w:sz w:val="22"/>
      <w:szCs w:val="24"/>
      <w:lang w:eastAsia="ko-KR"/>
    </w:rPr>
  </w:style>
  <w:style w:type="character" w:styleId="Emphasis">
    <w:name w:val="Emphasis"/>
    <w:uiPriority w:val="20"/>
    <w:qFormat/>
    <w:rsid w:val="005C7A72"/>
    <w:rPr>
      <w:i/>
      <w:iCs/>
    </w:rPr>
  </w:style>
  <w:style w:type="table" w:styleId="GridTable4-Accent2">
    <w:name w:val="Grid Table 4 Accent 2"/>
    <w:basedOn w:val="TableNormal"/>
    <w:uiPriority w:val="49"/>
    <w:rsid w:val="00EE6A5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2">
    <w:name w:val="List Table 1 Light Accent 2"/>
    <w:basedOn w:val="TableNormal"/>
    <w:uiPriority w:val="46"/>
    <w:rsid w:val="00EE6A5F"/>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01254">
      <w:bodyDiv w:val="1"/>
      <w:marLeft w:val="0"/>
      <w:marRight w:val="0"/>
      <w:marTop w:val="0"/>
      <w:marBottom w:val="0"/>
      <w:divBdr>
        <w:top w:val="none" w:sz="0" w:space="0" w:color="auto"/>
        <w:left w:val="none" w:sz="0" w:space="0" w:color="auto"/>
        <w:bottom w:val="none" w:sz="0" w:space="0" w:color="auto"/>
        <w:right w:val="none" w:sz="0" w:space="0" w:color="auto"/>
      </w:divBdr>
    </w:div>
    <w:div w:id="54596033">
      <w:bodyDiv w:val="1"/>
      <w:marLeft w:val="0"/>
      <w:marRight w:val="0"/>
      <w:marTop w:val="0"/>
      <w:marBottom w:val="0"/>
      <w:divBdr>
        <w:top w:val="none" w:sz="0" w:space="0" w:color="auto"/>
        <w:left w:val="none" w:sz="0" w:space="0" w:color="auto"/>
        <w:bottom w:val="none" w:sz="0" w:space="0" w:color="auto"/>
        <w:right w:val="none" w:sz="0" w:space="0" w:color="auto"/>
      </w:divBdr>
      <w:divsChild>
        <w:div w:id="540559439">
          <w:marLeft w:val="1800"/>
          <w:marRight w:val="0"/>
          <w:marTop w:val="91"/>
          <w:marBottom w:val="0"/>
          <w:divBdr>
            <w:top w:val="none" w:sz="0" w:space="0" w:color="auto"/>
            <w:left w:val="none" w:sz="0" w:space="0" w:color="auto"/>
            <w:bottom w:val="none" w:sz="0" w:space="0" w:color="auto"/>
            <w:right w:val="none" w:sz="0" w:space="0" w:color="auto"/>
          </w:divBdr>
        </w:div>
        <w:div w:id="831994053">
          <w:marLeft w:val="1800"/>
          <w:marRight w:val="0"/>
          <w:marTop w:val="91"/>
          <w:marBottom w:val="0"/>
          <w:divBdr>
            <w:top w:val="none" w:sz="0" w:space="0" w:color="auto"/>
            <w:left w:val="none" w:sz="0" w:space="0" w:color="auto"/>
            <w:bottom w:val="none" w:sz="0" w:space="0" w:color="auto"/>
            <w:right w:val="none" w:sz="0" w:space="0" w:color="auto"/>
          </w:divBdr>
        </w:div>
        <w:div w:id="891188595">
          <w:marLeft w:val="1166"/>
          <w:marRight w:val="0"/>
          <w:marTop w:val="106"/>
          <w:marBottom w:val="0"/>
          <w:divBdr>
            <w:top w:val="none" w:sz="0" w:space="0" w:color="auto"/>
            <w:left w:val="none" w:sz="0" w:space="0" w:color="auto"/>
            <w:bottom w:val="none" w:sz="0" w:space="0" w:color="auto"/>
            <w:right w:val="none" w:sz="0" w:space="0" w:color="auto"/>
          </w:divBdr>
        </w:div>
        <w:div w:id="1002244953">
          <w:marLeft w:val="1800"/>
          <w:marRight w:val="0"/>
          <w:marTop w:val="91"/>
          <w:marBottom w:val="0"/>
          <w:divBdr>
            <w:top w:val="none" w:sz="0" w:space="0" w:color="auto"/>
            <w:left w:val="none" w:sz="0" w:space="0" w:color="auto"/>
            <w:bottom w:val="none" w:sz="0" w:space="0" w:color="auto"/>
            <w:right w:val="none" w:sz="0" w:space="0" w:color="auto"/>
          </w:divBdr>
        </w:div>
        <w:div w:id="1129126657">
          <w:marLeft w:val="1800"/>
          <w:marRight w:val="0"/>
          <w:marTop w:val="91"/>
          <w:marBottom w:val="0"/>
          <w:divBdr>
            <w:top w:val="none" w:sz="0" w:space="0" w:color="auto"/>
            <w:left w:val="none" w:sz="0" w:space="0" w:color="auto"/>
            <w:bottom w:val="none" w:sz="0" w:space="0" w:color="auto"/>
            <w:right w:val="none" w:sz="0" w:space="0" w:color="auto"/>
          </w:divBdr>
        </w:div>
        <w:div w:id="1183201920">
          <w:marLeft w:val="2520"/>
          <w:marRight w:val="0"/>
          <w:marTop w:val="77"/>
          <w:marBottom w:val="0"/>
          <w:divBdr>
            <w:top w:val="none" w:sz="0" w:space="0" w:color="auto"/>
            <w:left w:val="none" w:sz="0" w:space="0" w:color="auto"/>
            <w:bottom w:val="none" w:sz="0" w:space="0" w:color="auto"/>
            <w:right w:val="none" w:sz="0" w:space="0" w:color="auto"/>
          </w:divBdr>
        </w:div>
        <w:div w:id="1363285920">
          <w:marLeft w:val="1166"/>
          <w:marRight w:val="0"/>
          <w:marTop w:val="106"/>
          <w:marBottom w:val="0"/>
          <w:divBdr>
            <w:top w:val="none" w:sz="0" w:space="0" w:color="auto"/>
            <w:left w:val="none" w:sz="0" w:space="0" w:color="auto"/>
            <w:bottom w:val="none" w:sz="0" w:space="0" w:color="auto"/>
            <w:right w:val="none" w:sz="0" w:space="0" w:color="auto"/>
          </w:divBdr>
        </w:div>
        <w:div w:id="1387604582">
          <w:marLeft w:val="2520"/>
          <w:marRight w:val="0"/>
          <w:marTop w:val="77"/>
          <w:marBottom w:val="0"/>
          <w:divBdr>
            <w:top w:val="none" w:sz="0" w:space="0" w:color="auto"/>
            <w:left w:val="none" w:sz="0" w:space="0" w:color="auto"/>
            <w:bottom w:val="none" w:sz="0" w:space="0" w:color="auto"/>
            <w:right w:val="none" w:sz="0" w:space="0" w:color="auto"/>
          </w:divBdr>
        </w:div>
        <w:div w:id="1388139134">
          <w:marLeft w:val="1166"/>
          <w:marRight w:val="0"/>
          <w:marTop w:val="106"/>
          <w:marBottom w:val="0"/>
          <w:divBdr>
            <w:top w:val="none" w:sz="0" w:space="0" w:color="auto"/>
            <w:left w:val="none" w:sz="0" w:space="0" w:color="auto"/>
            <w:bottom w:val="none" w:sz="0" w:space="0" w:color="auto"/>
            <w:right w:val="none" w:sz="0" w:space="0" w:color="auto"/>
          </w:divBdr>
        </w:div>
        <w:div w:id="1514761944">
          <w:marLeft w:val="1800"/>
          <w:marRight w:val="0"/>
          <w:marTop w:val="91"/>
          <w:marBottom w:val="0"/>
          <w:divBdr>
            <w:top w:val="none" w:sz="0" w:space="0" w:color="auto"/>
            <w:left w:val="none" w:sz="0" w:space="0" w:color="auto"/>
            <w:bottom w:val="none" w:sz="0" w:space="0" w:color="auto"/>
            <w:right w:val="none" w:sz="0" w:space="0" w:color="auto"/>
          </w:divBdr>
        </w:div>
        <w:div w:id="1751735353">
          <w:marLeft w:val="547"/>
          <w:marRight w:val="0"/>
          <w:marTop w:val="120"/>
          <w:marBottom w:val="0"/>
          <w:divBdr>
            <w:top w:val="none" w:sz="0" w:space="0" w:color="auto"/>
            <w:left w:val="none" w:sz="0" w:space="0" w:color="auto"/>
            <w:bottom w:val="none" w:sz="0" w:space="0" w:color="auto"/>
            <w:right w:val="none" w:sz="0" w:space="0" w:color="auto"/>
          </w:divBdr>
        </w:div>
        <w:div w:id="1800757284">
          <w:marLeft w:val="1800"/>
          <w:marRight w:val="0"/>
          <w:marTop w:val="91"/>
          <w:marBottom w:val="0"/>
          <w:divBdr>
            <w:top w:val="none" w:sz="0" w:space="0" w:color="auto"/>
            <w:left w:val="none" w:sz="0" w:space="0" w:color="auto"/>
            <w:bottom w:val="none" w:sz="0" w:space="0" w:color="auto"/>
            <w:right w:val="none" w:sz="0" w:space="0" w:color="auto"/>
          </w:divBdr>
        </w:div>
      </w:divsChild>
    </w:div>
    <w:div w:id="85228874">
      <w:bodyDiv w:val="1"/>
      <w:marLeft w:val="0"/>
      <w:marRight w:val="0"/>
      <w:marTop w:val="0"/>
      <w:marBottom w:val="0"/>
      <w:divBdr>
        <w:top w:val="none" w:sz="0" w:space="0" w:color="auto"/>
        <w:left w:val="none" w:sz="0" w:space="0" w:color="auto"/>
        <w:bottom w:val="none" w:sz="0" w:space="0" w:color="auto"/>
        <w:right w:val="none" w:sz="0" w:space="0" w:color="auto"/>
      </w:divBdr>
    </w:div>
    <w:div w:id="235096337">
      <w:bodyDiv w:val="1"/>
      <w:marLeft w:val="0"/>
      <w:marRight w:val="0"/>
      <w:marTop w:val="0"/>
      <w:marBottom w:val="0"/>
      <w:divBdr>
        <w:top w:val="none" w:sz="0" w:space="0" w:color="auto"/>
        <w:left w:val="none" w:sz="0" w:space="0" w:color="auto"/>
        <w:bottom w:val="none" w:sz="0" w:space="0" w:color="auto"/>
        <w:right w:val="none" w:sz="0" w:space="0" w:color="auto"/>
      </w:divBdr>
    </w:div>
    <w:div w:id="241069010">
      <w:bodyDiv w:val="1"/>
      <w:marLeft w:val="0"/>
      <w:marRight w:val="0"/>
      <w:marTop w:val="0"/>
      <w:marBottom w:val="0"/>
      <w:divBdr>
        <w:top w:val="none" w:sz="0" w:space="0" w:color="auto"/>
        <w:left w:val="none" w:sz="0" w:space="0" w:color="auto"/>
        <w:bottom w:val="none" w:sz="0" w:space="0" w:color="auto"/>
        <w:right w:val="none" w:sz="0" w:space="0" w:color="auto"/>
      </w:divBdr>
      <w:divsChild>
        <w:div w:id="1706248144">
          <w:marLeft w:val="1267"/>
          <w:marRight w:val="0"/>
          <w:marTop w:val="180"/>
          <w:marBottom w:val="0"/>
          <w:divBdr>
            <w:top w:val="none" w:sz="0" w:space="0" w:color="auto"/>
            <w:left w:val="none" w:sz="0" w:space="0" w:color="auto"/>
            <w:bottom w:val="none" w:sz="0" w:space="0" w:color="auto"/>
            <w:right w:val="none" w:sz="0" w:space="0" w:color="auto"/>
          </w:divBdr>
        </w:div>
        <w:div w:id="1731462712">
          <w:marLeft w:val="432"/>
          <w:marRight w:val="0"/>
          <w:marTop w:val="240"/>
          <w:marBottom w:val="0"/>
          <w:divBdr>
            <w:top w:val="none" w:sz="0" w:space="0" w:color="auto"/>
            <w:left w:val="none" w:sz="0" w:space="0" w:color="auto"/>
            <w:bottom w:val="none" w:sz="0" w:space="0" w:color="auto"/>
            <w:right w:val="none" w:sz="0" w:space="0" w:color="auto"/>
          </w:divBdr>
        </w:div>
      </w:divsChild>
    </w:div>
    <w:div w:id="263617652">
      <w:bodyDiv w:val="1"/>
      <w:marLeft w:val="0"/>
      <w:marRight w:val="0"/>
      <w:marTop w:val="0"/>
      <w:marBottom w:val="0"/>
      <w:divBdr>
        <w:top w:val="none" w:sz="0" w:space="0" w:color="auto"/>
        <w:left w:val="none" w:sz="0" w:space="0" w:color="auto"/>
        <w:bottom w:val="none" w:sz="0" w:space="0" w:color="auto"/>
        <w:right w:val="none" w:sz="0" w:space="0" w:color="auto"/>
      </w:divBdr>
    </w:div>
    <w:div w:id="295725958">
      <w:bodyDiv w:val="1"/>
      <w:marLeft w:val="0"/>
      <w:marRight w:val="0"/>
      <w:marTop w:val="0"/>
      <w:marBottom w:val="0"/>
      <w:divBdr>
        <w:top w:val="none" w:sz="0" w:space="0" w:color="auto"/>
        <w:left w:val="none" w:sz="0" w:space="0" w:color="auto"/>
        <w:bottom w:val="none" w:sz="0" w:space="0" w:color="auto"/>
        <w:right w:val="none" w:sz="0" w:space="0" w:color="auto"/>
      </w:divBdr>
    </w:div>
    <w:div w:id="369648941">
      <w:bodyDiv w:val="1"/>
      <w:marLeft w:val="0"/>
      <w:marRight w:val="0"/>
      <w:marTop w:val="0"/>
      <w:marBottom w:val="0"/>
      <w:divBdr>
        <w:top w:val="none" w:sz="0" w:space="0" w:color="auto"/>
        <w:left w:val="none" w:sz="0" w:space="0" w:color="auto"/>
        <w:bottom w:val="none" w:sz="0" w:space="0" w:color="auto"/>
        <w:right w:val="none" w:sz="0" w:space="0" w:color="auto"/>
      </w:divBdr>
      <w:divsChild>
        <w:div w:id="189151316">
          <w:marLeft w:val="274"/>
          <w:marRight w:val="0"/>
          <w:marTop w:val="0"/>
          <w:marBottom w:val="0"/>
          <w:divBdr>
            <w:top w:val="none" w:sz="0" w:space="0" w:color="auto"/>
            <w:left w:val="none" w:sz="0" w:space="0" w:color="auto"/>
            <w:bottom w:val="none" w:sz="0" w:space="0" w:color="auto"/>
            <w:right w:val="none" w:sz="0" w:space="0" w:color="auto"/>
          </w:divBdr>
        </w:div>
        <w:div w:id="1871333655">
          <w:marLeft w:val="274"/>
          <w:marRight w:val="0"/>
          <w:marTop w:val="0"/>
          <w:marBottom w:val="0"/>
          <w:divBdr>
            <w:top w:val="none" w:sz="0" w:space="0" w:color="auto"/>
            <w:left w:val="none" w:sz="0" w:space="0" w:color="auto"/>
            <w:bottom w:val="none" w:sz="0" w:space="0" w:color="auto"/>
            <w:right w:val="none" w:sz="0" w:space="0" w:color="auto"/>
          </w:divBdr>
        </w:div>
      </w:divsChild>
    </w:div>
    <w:div w:id="488443625">
      <w:bodyDiv w:val="1"/>
      <w:marLeft w:val="0"/>
      <w:marRight w:val="0"/>
      <w:marTop w:val="0"/>
      <w:marBottom w:val="0"/>
      <w:divBdr>
        <w:top w:val="none" w:sz="0" w:space="0" w:color="auto"/>
        <w:left w:val="none" w:sz="0" w:space="0" w:color="auto"/>
        <w:bottom w:val="none" w:sz="0" w:space="0" w:color="auto"/>
        <w:right w:val="none" w:sz="0" w:space="0" w:color="auto"/>
      </w:divBdr>
    </w:div>
    <w:div w:id="518395367">
      <w:bodyDiv w:val="1"/>
      <w:marLeft w:val="0"/>
      <w:marRight w:val="0"/>
      <w:marTop w:val="0"/>
      <w:marBottom w:val="0"/>
      <w:divBdr>
        <w:top w:val="none" w:sz="0" w:space="0" w:color="auto"/>
        <w:left w:val="none" w:sz="0" w:space="0" w:color="auto"/>
        <w:bottom w:val="none" w:sz="0" w:space="0" w:color="auto"/>
        <w:right w:val="none" w:sz="0" w:space="0" w:color="auto"/>
      </w:divBdr>
    </w:div>
    <w:div w:id="778255662">
      <w:bodyDiv w:val="1"/>
      <w:marLeft w:val="0"/>
      <w:marRight w:val="0"/>
      <w:marTop w:val="0"/>
      <w:marBottom w:val="0"/>
      <w:divBdr>
        <w:top w:val="none" w:sz="0" w:space="0" w:color="auto"/>
        <w:left w:val="none" w:sz="0" w:space="0" w:color="auto"/>
        <w:bottom w:val="none" w:sz="0" w:space="0" w:color="auto"/>
        <w:right w:val="none" w:sz="0" w:space="0" w:color="auto"/>
      </w:divBdr>
    </w:div>
    <w:div w:id="785386211">
      <w:bodyDiv w:val="1"/>
      <w:marLeft w:val="0"/>
      <w:marRight w:val="0"/>
      <w:marTop w:val="0"/>
      <w:marBottom w:val="0"/>
      <w:divBdr>
        <w:top w:val="none" w:sz="0" w:space="0" w:color="auto"/>
        <w:left w:val="none" w:sz="0" w:space="0" w:color="auto"/>
        <w:bottom w:val="none" w:sz="0" w:space="0" w:color="auto"/>
        <w:right w:val="none" w:sz="0" w:space="0" w:color="auto"/>
      </w:divBdr>
      <w:divsChild>
        <w:div w:id="1989507056">
          <w:marLeft w:val="288"/>
          <w:marRight w:val="0"/>
          <w:marTop w:val="0"/>
          <w:marBottom w:val="0"/>
          <w:divBdr>
            <w:top w:val="none" w:sz="0" w:space="0" w:color="auto"/>
            <w:left w:val="none" w:sz="0" w:space="0" w:color="auto"/>
            <w:bottom w:val="none" w:sz="0" w:space="0" w:color="auto"/>
            <w:right w:val="none" w:sz="0" w:space="0" w:color="auto"/>
          </w:divBdr>
        </w:div>
        <w:div w:id="371658205">
          <w:marLeft w:val="850"/>
          <w:marRight w:val="0"/>
          <w:marTop w:val="0"/>
          <w:marBottom w:val="0"/>
          <w:divBdr>
            <w:top w:val="none" w:sz="0" w:space="0" w:color="auto"/>
            <w:left w:val="none" w:sz="0" w:space="0" w:color="auto"/>
            <w:bottom w:val="none" w:sz="0" w:space="0" w:color="auto"/>
            <w:right w:val="none" w:sz="0" w:space="0" w:color="auto"/>
          </w:divBdr>
        </w:div>
        <w:div w:id="1648781210">
          <w:marLeft w:val="850"/>
          <w:marRight w:val="0"/>
          <w:marTop w:val="0"/>
          <w:marBottom w:val="0"/>
          <w:divBdr>
            <w:top w:val="none" w:sz="0" w:space="0" w:color="auto"/>
            <w:left w:val="none" w:sz="0" w:space="0" w:color="auto"/>
            <w:bottom w:val="none" w:sz="0" w:space="0" w:color="auto"/>
            <w:right w:val="none" w:sz="0" w:space="0" w:color="auto"/>
          </w:divBdr>
        </w:div>
        <w:div w:id="240719629">
          <w:marLeft w:val="850"/>
          <w:marRight w:val="0"/>
          <w:marTop w:val="0"/>
          <w:marBottom w:val="0"/>
          <w:divBdr>
            <w:top w:val="none" w:sz="0" w:space="0" w:color="auto"/>
            <w:left w:val="none" w:sz="0" w:space="0" w:color="auto"/>
            <w:bottom w:val="none" w:sz="0" w:space="0" w:color="auto"/>
            <w:right w:val="none" w:sz="0" w:space="0" w:color="auto"/>
          </w:divBdr>
        </w:div>
        <w:div w:id="227959615">
          <w:marLeft w:val="288"/>
          <w:marRight w:val="0"/>
          <w:marTop w:val="0"/>
          <w:marBottom w:val="0"/>
          <w:divBdr>
            <w:top w:val="none" w:sz="0" w:space="0" w:color="auto"/>
            <w:left w:val="none" w:sz="0" w:space="0" w:color="auto"/>
            <w:bottom w:val="none" w:sz="0" w:space="0" w:color="auto"/>
            <w:right w:val="none" w:sz="0" w:space="0" w:color="auto"/>
          </w:divBdr>
        </w:div>
        <w:div w:id="1829204612">
          <w:marLeft w:val="288"/>
          <w:marRight w:val="0"/>
          <w:marTop w:val="0"/>
          <w:marBottom w:val="0"/>
          <w:divBdr>
            <w:top w:val="none" w:sz="0" w:space="0" w:color="auto"/>
            <w:left w:val="none" w:sz="0" w:space="0" w:color="auto"/>
            <w:bottom w:val="none" w:sz="0" w:space="0" w:color="auto"/>
            <w:right w:val="none" w:sz="0" w:space="0" w:color="auto"/>
          </w:divBdr>
        </w:div>
        <w:div w:id="473377515">
          <w:marLeft w:val="288"/>
          <w:marRight w:val="0"/>
          <w:marTop w:val="0"/>
          <w:marBottom w:val="0"/>
          <w:divBdr>
            <w:top w:val="none" w:sz="0" w:space="0" w:color="auto"/>
            <w:left w:val="none" w:sz="0" w:space="0" w:color="auto"/>
            <w:bottom w:val="none" w:sz="0" w:space="0" w:color="auto"/>
            <w:right w:val="none" w:sz="0" w:space="0" w:color="auto"/>
          </w:divBdr>
        </w:div>
        <w:div w:id="1017728941">
          <w:marLeft w:val="288"/>
          <w:marRight w:val="0"/>
          <w:marTop w:val="0"/>
          <w:marBottom w:val="0"/>
          <w:divBdr>
            <w:top w:val="none" w:sz="0" w:space="0" w:color="auto"/>
            <w:left w:val="none" w:sz="0" w:space="0" w:color="auto"/>
            <w:bottom w:val="none" w:sz="0" w:space="0" w:color="auto"/>
            <w:right w:val="none" w:sz="0" w:space="0" w:color="auto"/>
          </w:divBdr>
        </w:div>
      </w:divsChild>
    </w:div>
    <w:div w:id="799106868">
      <w:bodyDiv w:val="1"/>
      <w:marLeft w:val="0"/>
      <w:marRight w:val="0"/>
      <w:marTop w:val="0"/>
      <w:marBottom w:val="0"/>
      <w:divBdr>
        <w:top w:val="none" w:sz="0" w:space="0" w:color="auto"/>
        <w:left w:val="none" w:sz="0" w:space="0" w:color="auto"/>
        <w:bottom w:val="none" w:sz="0" w:space="0" w:color="auto"/>
        <w:right w:val="none" w:sz="0" w:space="0" w:color="auto"/>
      </w:divBdr>
      <w:divsChild>
        <w:div w:id="1820032730">
          <w:marLeft w:val="547"/>
          <w:marRight w:val="0"/>
          <w:marTop w:val="144"/>
          <w:marBottom w:val="0"/>
          <w:divBdr>
            <w:top w:val="none" w:sz="0" w:space="0" w:color="auto"/>
            <w:left w:val="none" w:sz="0" w:space="0" w:color="auto"/>
            <w:bottom w:val="none" w:sz="0" w:space="0" w:color="auto"/>
            <w:right w:val="none" w:sz="0" w:space="0" w:color="auto"/>
          </w:divBdr>
        </w:div>
      </w:divsChild>
    </w:div>
    <w:div w:id="943226574">
      <w:bodyDiv w:val="1"/>
      <w:marLeft w:val="0"/>
      <w:marRight w:val="0"/>
      <w:marTop w:val="0"/>
      <w:marBottom w:val="0"/>
      <w:divBdr>
        <w:top w:val="none" w:sz="0" w:space="0" w:color="auto"/>
        <w:left w:val="none" w:sz="0" w:space="0" w:color="auto"/>
        <w:bottom w:val="none" w:sz="0" w:space="0" w:color="auto"/>
        <w:right w:val="none" w:sz="0" w:space="0" w:color="auto"/>
      </w:divBdr>
    </w:div>
    <w:div w:id="944532400">
      <w:bodyDiv w:val="1"/>
      <w:marLeft w:val="0"/>
      <w:marRight w:val="0"/>
      <w:marTop w:val="0"/>
      <w:marBottom w:val="0"/>
      <w:divBdr>
        <w:top w:val="none" w:sz="0" w:space="0" w:color="auto"/>
        <w:left w:val="none" w:sz="0" w:space="0" w:color="auto"/>
        <w:bottom w:val="none" w:sz="0" w:space="0" w:color="auto"/>
        <w:right w:val="none" w:sz="0" w:space="0" w:color="auto"/>
      </w:divBdr>
    </w:div>
    <w:div w:id="952323757">
      <w:bodyDiv w:val="1"/>
      <w:marLeft w:val="0"/>
      <w:marRight w:val="0"/>
      <w:marTop w:val="0"/>
      <w:marBottom w:val="0"/>
      <w:divBdr>
        <w:top w:val="none" w:sz="0" w:space="0" w:color="auto"/>
        <w:left w:val="none" w:sz="0" w:space="0" w:color="auto"/>
        <w:bottom w:val="none" w:sz="0" w:space="0" w:color="auto"/>
        <w:right w:val="none" w:sz="0" w:space="0" w:color="auto"/>
      </w:divBdr>
    </w:div>
    <w:div w:id="1052651473">
      <w:bodyDiv w:val="1"/>
      <w:marLeft w:val="0"/>
      <w:marRight w:val="0"/>
      <w:marTop w:val="0"/>
      <w:marBottom w:val="0"/>
      <w:divBdr>
        <w:top w:val="none" w:sz="0" w:space="0" w:color="auto"/>
        <w:left w:val="none" w:sz="0" w:space="0" w:color="auto"/>
        <w:bottom w:val="none" w:sz="0" w:space="0" w:color="auto"/>
        <w:right w:val="none" w:sz="0" w:space="0" w:color="auto"/>
      </w:divBdr>
    </w:div>
    <w:div w:id="1074546322">
      <w:bodyDiv w:val="1"/>
      <w:marLeft w:val="0"/>
      <w:marRight w:val="0"/>
      <w:marTop w:val="0"/>
      <w:marBottom w:val="0"/>
      <w:divBdr>
        <w:top w:val="none" w:sz="0" w:space="0" w:color="auto"/>
        <w:left w:val="none" w:sz="0" w:space="0" w:color="auto"/>
        <w:bottom w:val="none" w:sz="0" w:space="0" w:color="auto"/>
        <w:right w:val="none" w:sz="0" w:space="0" w:color="auto"/>
      </w:divBdr>
      <w:divsChild>
        <w:div w:id="1084689167">
          <w:marLeft w:val="360"/>
          <w:marRight w:val="0"/>
          <w:marTop w:val="200"/>
          <w:marBottom w:val="0"/>
          <w:divBdr>
            <w:top w:val="none" w:sz="0" w:space="0" w:color="auto"/>
            <w:left w:val="none" w:sz="0" w:space="0" w:color="auto"/>
            <w:bottom w:val="none" w:sz="0" w:space="0" w:color="auto"/>
            <w:right w:val="none" w:sz="0" w:space="0" w:color="auto"/>
          </w:divBdr>
        </w:div>
        <w:div w:id="2005892274">
          <w:marLeft w:val="360"/>
          <w:marRight w:val="0"/>
          <w:marTop w:val="200"/>
          <w:marBottom w:val="0"/>
          <w:divBdr>
            <w:top w:val="none" w:sz="0" w:space="0" w:color="auto"/>
            <w:left w:val="none" w:sz="0" w:space="0" w:color="auto"/>
            <w:bottom w:val="none" w:sz="0" w:space="0" w:color="auto"/>
            <w:right w:val="none" w:sz="0" w:space="0" w:color="auto"/>
          </w:divBdr>
        </w:div>
        <w:div w:id="1901135207">
          <w:marLeft w:val="360"/>
          <w:marRight w:val="0"/>
          <w:marTop w:val="200"/>
          <w:marBottom w:val="0"/>
          <w:divBdr>
            <w:top w:val="none" w:sz="0" w:space="0" w:color="auto"/>
            <w:left w:val="none" w:sz="0" w:space="0" w:color="auto"/>
            <w:bottom w:val="none" w:sz="0" w:space="0" w:color="auto"/>
            <w:right w:val="none" w:sz="0" w:space="0" w:color="auto"/>
          </w:divBdr>
        </w:div>
      </w:divsChild>
    </w:div>
    <w:div w:id="1099567628">
      <w:bodyDiv w:val="1"/>
      <w:marLeft w:val="0"/>
      <w:marRight w:val="0"/>
      <w:marTop w:val="0"/>
      <w:marBottom w:val="0"/>
      <w:divBdr>
        <w:top w:val="none" w:sz="0" w:space="0" w:color="auto"/>
        <w:left w:val="none" w:sz="0" w:space="0" w:color="auto"/>
        <w:bottom w:val="none" w:sz="0" w:space="0" w:color="auto"/>
        <w:right w:val="none" w:sz="0" w:space="0" w:color="auto"/>
      </w:divBdr>
      <w:divsChild>
        <w:div w:id="308872791">
          <w:marLeft w:val="1800"/>
          <w:marRight w:val="0"/>
          <w:marTop w:val="106"/>
          <w:marBottom w:val="0"/>
          <w:divBdr>
            <w:top w:val="none" w:sz="0" w:space="0" w:color="auto"/>
            <w:left w:val="none" w:sz="0" w:space="0" w:color="auto"/>
            <w:bottom w:val="none" w:sz="0" w:space="0" w:color="auto"/>
            <w:right w:val="none" w:sz="0" w:space="0" w:color="auto"/>
          </w:divBdr>
        </w:div>
        <w:div w:id="564605613">
          <w:marLeft w:val="1166"/>
          <w:marRight w:val="0"/>
          <w:marTop w:val="125"/>
          <w:marBottom w:val="0"/>
          <w:divBdr>
            <w:top w:val="none" w:sz="0" w:space="0" w:color="auto"/>
            <w:left w:val="none" w:sz="0" w:space="0" w:color="auto"/>
            <w:bottom w:val="none" w:sz="0" w:space="0" w:color="auto"/>
            <w:right w:val="none" w:sz="0" w:space="0" w:color="auto"/>
          </w:divBdr>
        </w:div>
        <w:div w:id="695693737">
          <w:marLeft w:val="547"/>
          <w:marRight w:val="0"/>
          <w:marTop w:val="144"/>
          <w:marBottom w:val="0"/>
          <w:divBdr>
            <w:top w:val="none" w:sz="0" w:space="0" w:color="auto"/>
            <w:left w:val="none" w:sz="0" w:space="0" w:color="auto"/>
            <w:bottom w:val="none" w:sz="0" w:space="0" w:color="auto"/>
            <w:right w:val="none" w:sz="0" w:space="0" w:color="auto"/>
          </w:divBdr>
        </w:div>
        <w:div w:id="1098939225">
          <w:marLeft w:val="1800"/>
          <w:marRight w:val="0"/>
          <w:marTop w:val="106"/>
          <w:marBottom w:val="0"/>
          <w:divBdr>
            <w:top w:val="none" w:sz="0" w:space="0" w:color="auto"/>
            <w:left w:val="none" w:sz="0" w:space="0" w:color="auto"/>
            <w:bottom w:val="none" w:sz="0" w:space="0" w:color="auto"/>
            <w:right w:val="none" w:sz="0" w:space="0" w:color="auto"/>
          </w:divBdr>
        </w:div>
        <w:div w:id="1125588277">
          <w:marLeft w:val="1166"/>
          <w:marRight w:val="0"/>
          <w:marTop w:val="125"/>
          <w:marBottom w:val="0"/>
          <w:divBdr>
            <w:top w:val="none" w:sz="0" w:space="0" w:color="auto"/>
            <w:left w:val="none" w:sz="0" w:space="0" w:color="auto"/>
            <w:bottom w:val="none" w:sz="0" w:space="0" w:color="auto"/>
            <w:right w:val="none" w:sz="0" w:space="0" w:color="auto"/>
          </w:divBdr>
        </w:div>
        <w:div w:id="1246650918">
          <w:marLeft w:val="1800"/>
          <w:marRight w:val="0"/>
          <w:marTop w:val="106"/>
          <w:marBottom w:val="0"/>
          <w:divBdr>
            <w:top w:val="none" w:sz="0" w:space="0" w:color="auto"/>
            <w:left w:val="none" w:sz="0" w:space="0" w:color="auto"/>
            <w:bottom w:val="none" w:sz="0" w:space="0" w:color="auto"/>
            <w:right w:val="none" w:sz="0" w:space="0" w:color="auto"/>
          </w:divBdr>
        </w:div>
        <w:div w:id="1356079054">
          <w:marLeft w:val="547"/>
          <w:marRight w:val="0"/>
          <w:marTop w:val="144"/>
          <w:marBottom w:val="0"/>
          <w:divBdr>
            <w:top w:val="none" w:sz="0" w:space="0" w:color="auto"/>
            <w:left w:val="none" w:sz="0" w:space="0" w:color="auto"/>
            <w:bottom w:val="none" w:sz="0" w:space="0" w:color="auto"/>
            <w:right w:val="none" w:sz="0" w:space="0" w:color="auto"/>
          </w:divBdr>
        </w:div>
        <w:div w:id="2079286301">
          <w:marLeft w:val="1166"/>
          <w:marRight w:val="0"/>
          <w:marTop w:val="125"/>
          <w:marBottom w:val="0"/>
          <w:divBdr>
            <w:top w:val="none" w:sz="0" w:space="0" w:color="auto"/>
            <w:left w:val="none" w:sz="0" w:space="0" w:color="auto"/>
            <w:bottom w:val="none" w:sz="0" w:space="0" w:color="auto"/>
            <w:right w:val="none" w:sz="0" w:space="0" w:color="auto"/>
          </w:divBdr>
        </w:div>
        <w:div w:id="2087416189">
          <w:marLeft w:val="1166"/>
          <w:marRight w:val="0"/>
          <w:marTop w:val="125"/>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50486622">
      <w:bodyDiv w:val="1"/>
      <w:marLeft w:val="0"/>
      <w:marRight w:val="0"/>
      <w:marTop w:val="0"/>
      <w:marBottom w:val="0"/>
      <w:divBdr>
        <w:top w:val="none" w:sz="0" w:space="0" w:color="auto"/>
        <w:left w:val="none" w:sz="0" w:space="0" w:color="auto"/>
        <w:bottom w:val="none" w:sz="0" w:space="0" w:color="auto"/>
        <w:right w:val="none" w:sz="0" w:space="0" w:color="auto"/>
      </w:divBdr>
    </w:div>
    <w:div w:id="1228347569">
      <w:bodyDiv w:val="1"/>
      <w:marLeft w:val="0"/>
      <w:marRight w:val="0"/>
      <w:marTop w:val="0"/>
      <w:marBottom w:val="0"/>
      <w:divBdr>
        <w:top w:val="none" w:sz="0" w:space="0" w:color="auto"/>
        <w:left w:val="none" w:sz="0" w:space="0" w:color="auto"/>
        <w:bottom w:val="none" w:sz="0" w:space="0" w:color="auto"/>
        <w:right w:val="none" w:sz="0" w:space="0" w:color="auto"/>
      </w:divBdr>
    </w:div>
    <w:div w:id="1285650859">
      <w:bodyDiv w:val="1"/>
      <w:marLeft w:val="0"/>
      <w:marRight w:val="0"/>
      <w:marTop w:val="0"/>
      <w:marBottom w:val="0"/>
      <w:divBdr>
        <w:top w:val="none" w:sz="0" w:space="0" w:color="auto"/>
        <w:left w:val="none" w:sz="0" w:space="0" w:color="auto"/>
        <w:bottom w:val="none" w:sz="0" w:space="0" w:color="auto"/>
        <w:right w:val="none" w:sz="0" w:space="0" w:color="auto"/>
      </w:divBdr>
    </w:div>
    <w:div w:id="1356342149">
      <w:bodyDiv w:val="1"/>
      <w:marLeft w:val="0"/>
      <w:marRight w:val="0"/>
      <w:marTop w:val="0"/>
      <w:marBottom w:val="0"/>
      <w:divBdr>
        <w:top w:val="none" w:sz="0" w:space="0" w:color="auto"/>
        <w:left w:val="none" w:sz="0" w:space="0" w:color="auto"/>
        <w:bottom w:val="none" w:sz="0" w:space="0" w:color="auto"/>
        <w:right w:val="none" w:sz="0" w:space="0" w:color="auto"/>
      </w:divBdr>
    </w:div>
    <w:div w:id="1487818383">
      <w:bodyDiv w:val="1"/>
      <w:marLeft w:val="0"/>
      <w:marRight w:val="0"/>
      <w:marTop w:val="0"/>
      <w:marBottom w:val="0"/>
      <w:divBdr>
        <w:top w:val="none" w:sz="0" w:space="0" w:color="auto"/>
        <w:left w:val="none" w:sz="0" w:space="0" w:color="auto"/>
        <w:bottom w:val="none" w:sz="0" w:space="0" w:color="auto"/>
        <w:right w:val="none" w:sz="0" w:space="0" w:color="auto"/>
      </w:divBdr>
      <w:divsChild>
        <w:div w:id="1664624008">
          <w:marLeft w:val="360"/>
          <w:marRight w:val="0"/>
          <w:marTop w:val="200"/>
          <w:marBottom w:val="0"/>
          <w:divBdr>
            <w:top w:val="none" w:sz="0" w:space="0" w:color="auto"/>
            <w:left w:val="none" w:sz="0" w:space="0" w:color="auto"/>
            <w:bottom w:val="none" w:sz="0" w:space="0" w:color="auto"/>
            <w:right w:val="none" w:sz="0" w:space="0" w:color="auto"/>
          </w:divBdr>
        </w:div>
        <w:div w:id="760293830">
          <w:marLeft w:val="360"/>
          <w:marRight w:val="0"/>
          <w:marTop w:val="200"/>
          <w:marBottom w:val="0"/>
          <w:divBdr>
            <w:top w:val="none" w:sz="0" w:space="0" w:color="auto"/>
            <w:left w:val="none" w:sz="0" w:space="0" w:color="auto"/>
            <w:bottom w:val="none" w:sz="0" w:space="0" w:color="auto"/>
            <w:right w:val="none" w:sz="0" w:space="0" w:color="auto"/>
          </w:divBdr>
        </w:div>
        <w:div w:id="1219390917">
          <w:marLeft w:val="360"/>
          <w:marRight w:val="0"/>
          <w:marTop w:val="200"/>
          <w:marBottom w:val="0"/>
          <w:divBdr>
            <w:top w:val="none" w:sz="0" w:space="0" w:color="auto"/>
            <w:left w:val="none" w:sz="0" w:space="0" w:color="auto"/>
            <w:bottom w:val="none" w:sz="0" w:space="0" w:color="auto"/>
            <w:right w:val="none" w:sz="0" w:space="0" w:color="auto"/>
          </w:divBdr>
        </w:div>
      </w:divsChild>
    </w:div>
    <w:div w:id="1506356677">
      <w:bodyDiv w:val="1"/>
      <w:marLeft w:val="0"/>
      <w:marRight w:val="0"/>
      <w:marTop w:val="0"/>
      <w:marBottom w:val="0"/>
      <w:divBdr>
        <w:top w:val="none" w:sz="0" w:space="0" w:color="auto"/>
        <w:left w:val="none" w:sz="0" w:space="0" w:color="auto"/>
        <w:bottom w:val="none" w:sz="0" w:space="0" w:color="auto"/>
        <w:right w:val="none" w:sz="0" w:space="0" w:color="auto"/>
      </w:divBdr>
    </w:div>
    <w:div w:id="1617910569">
      <w:bodyDiv w:val="1"/>
      <w:marLeft w:val="0"/>
      <w:marRight w:val="0"/>
      <w:marTop w:val="0"/>
      <w:marBottom w:val="0"/>
      <w:divBdr>
        <w:top w:val="none" w:sz="0" w:space="0" w:color="auto"/>
        <w:left w:val="none" w:sz="0" w:space="0" w:color="auto"/>
        <w:bottom w:val="none" w:sz="0" w:space="0" w:color="auto"/>
        <w:right w:val="none" w:sz="0" w:space="0" w:color="auto"/>
      </w:divBdr>
      <w:divsChild>
        <w:div w:id="925919365">
          <w:marLeft w:val="547"/>
          <w:marRight w:val="0"/>
          <w:marTop w:val="62"/>
          <w:marBottom w:val="0"/>
          <w:divBdr>
            <w:top w:val="none" w:sz="0" w:space="0" w:color="auto"/>
            <w:left w:val="none" w:sz="0" w:space="0" w:color="auto"/>
            <w:bottom w:val="none" w:sz="0" w:space="0" w:color="auto"/>
            <w:right w:val="none" w:sz="0" w:space="0" w:color="auto"/>
          </w:divBdr>
        </w:div>
        <w:div w:id="2121366599">
          <w:marLeft w:val="547"/>
          <w:marRight w:val="0"/>
          <w:marTop w:val="62"/>
          <w:marBottom w:val="0"/>
          <w:divBdr>
            <w:top w:val="none" w:sz="0" w:space="0" w:color="auto"/>
            <w:left w:val="none" w:sz="0" w:space="0" w:color="auto"/>
            <w:bottom w:val="none" w:sz="0" w:space="0" w:color="auto"/>
            <w:right w:val="none" w:sz="0" w:space="0" w:color="auto"/>
          </w:divBdr>
        </w:div>
      </w:divsChild>
    </w:div>
    <w:div w:id="1735928156">
      <w:bodyDiv w:val="1"/>
      <w:marLeft w:val="0"/>
      <w:marRight w:val="0"/>
      <w:marTop w:val="0"/>
      <w:marBottom w:val="0"/>
      <w:divBdr>
        <w:top w:val="none" w:sz="0" w:space="0" w:color="auto"/>
        <w:left w:val="none" w:sz="0" w:space="0" w:color="auto"/>
        <w:bottom w:val="none" w:sz="0" w:space="0" w:color="auto"/>
        <w:right w:val="none" w:sz="0" w:space="0" w:color="auto"/>
      </w:divBdr>
    </w:div>
    <w:div w:id="1797094425">
      <w:bodyDiv w:val="1"/>
      <w:marLeft w:val="0"/>
      <w:marRight w:val="0"/>
      <w:marTop w:val="0"/>
      <w:marBottom w:val="0"/>
      <w:divBdr>
        <w:top w:val="none" w:sz="0" w:space="0" w:color="auto"/>
        <w:left w:val="none" w:sz="0" w:space="0" w:color="auto"/>
        <w:bottom w:val="none" w:sz="0" w:space="0" w:color="auto"/>
        <w:right w:val="none" w:sz="0" w:space="0" w:color="auto"/>
      </w:divBdr>
      <w:divsChild>
        <w:div w:id="474877434">
          <w:marLeft w:val="547"/>
          <w:marRight w:val="0"/>
          <w:marTop w:val="62"/>
          <w:marBottom w:val="0"/>
          <w:divBdr>
            <w:top w:val="none" w:sz="0" w:space="0" w:color="auto"/>
            <w:left w:val="none" w:sz="0" w:space="0" w:color="auto"/>
            <w:bottom w:val="none" w:sz="0" w:space="0" w:color="auto"/>
            <w:right w:val="none" w:sz="0" w:space="0" w:color="auto"/>
          </w:divBdr>
        </w:div>
        <w:div w:id="488012924">
          <w:marLeft w:val="547"/>
          <w:marRight w:val="0"/>
          <w:marTop w:val="62"/>
          <w:marBottom w:val="0"/>
          <w:divBdr>
            <w:top w:val="none" w:sz="0" w:space="0" w:color="auto"/>
            <w:left w:val="none" w:sz="0" w:space="0" w:color="auto"/>
            <w:bottom w:val="none" w:sz="0" w:space="0" w:color="auto"/>
            <w:right w:val="none" w:sz="0" w:space="0" w:color="auto"/>
          </w:divBdr>
        </w:div>
        <w:div w:id="1090656427">
          <w:marLeft w:val="547"/>
          <w:marRight w:val="0"/>
          <w:marTop w:val="62"/>
          <w:marBottom w:val="0"/>
          <w:divBdr>
            <w:top w:val="none" w:sz="0" w:space="0" w:color="auto"/>
            <w:left w:val="none" w:sz="0" w:space="0" w:color="auto"/>
            <w:bottom w:val="none" w:sz="0" w:space="0" w:color="auto"/>
            <w:right w:val="none" w:sz="0" w:space="0" w:color="auto"/>
          </w:divBdr>
        </w:div>
        <w:div w:id="1170173291">
          <w:marLeft w:val="547"/>
          <w:marRight w:val="0"/>
          <w:marTop w:val="62"/>
          <w:marBottom w:val="0"/>
          <w:divBdr>
            <w:top w:val="none" w:sz="0" w:space="0" w:color="auto"/>
            <w:left w:val="none" w:sz="0" w:space="0" w:color="auto"/>
            <w:bottom w:val="none" w:sz="0" w:space="0" w:color="auto"/>
            <w:right w:val="none" w:sz="0" w:space="0" w:color="auto"/>
          </w:divBdr>
        </w:div>
        <w:div w:id="1326545411">
          <w:marLeft w:val="547"/>
          <w:marRight w:val="0"/>
          <w:marTop w:val="62"/>
          <w:marBottom w:val="0"/>
          <w:divBdr>
            <w:top w:val="none" w:sz="0" w:space="0" w:color="auto"/>
            <w:left w:val="none" w:sz="0" w:space="0" w:color="auto"/>
            <w:bottom w:val="none" w:sz="0" w:space="0" w:color="auto"/>
            <w:right w:val="none" w:sz="0" w:space="0" w:color="auto"/>
          </w:divBdr>
        </w:div>
        <w:div w:id="1621646222">
          <w:marLeft w:val="547"/>
          <w:marRight w:val="0"/>
          <w:marTop w:val="62"/>
          <w:marBottom w:val="0"/>
          <w:divBdr>
            <w:top w:val="none" w:sz="0" w:space="0" w:color="auto"/>
            <w:left w:val="none" w:sz="0" w:space="0" w:color="auto"/>
            <w:bottom w:val="none" w:sz="0" w:space="0" w:color="auto"/>
            <w:right w:val="none" w:sz="0" w:space="0" w:color="auto"/>
          </w:divBdr>
        </w:div>
      </w:divsChild>
    </w:div>
    <w:div w:id="1804957661">
      <w:bodyDiv w:val="1"/>
      <w:marLeft w:val="0"/>
      <w:marRight w:val="0"/>
      <w:marTop w:val="0"/>
      <w:marBottom w:val="0"/>
      <w:divBdr>
        <w:top w:val="none" w:sz="0" w:space="0" w:color="auto"/>
        <w:left w:val="none" w:sz="0" w:space="0" w:color="auto"/>
        <w:bottom w:val="none" w:sz="0" w:space="0" w:color="auto"/>
        <w:right w:val="none" w:sz="0" w:space="0" w:color="auto"/>
      </w:divBdr>
    </w:div>
    <w:div w:id="1806392467">
      <w:bodyDiv w:val="1"/>
      <w:marLeft w:val="0"/>
      <w:marRight w:val="0"/>
      <w:marTop w:val="0"/>
      <w:marBottom w:val="0"/>
      <w:divBdr>
        <w:top w:val="none" w:sz="0" w:space="0" w:color="auto"/>
        <w:left w:val="none" w:sz="0" w:space="0" w:color="auto"/>
        <w:bottom w:val="none" w:sz="0" w:space="0" w:color="auto"/>
        <w:right w:val="none" w:sz="0" w:space="0" w:color="auto"/>
      </w:divBdr>
      <w:divsChild>
        <w:div w:id="815338019">
          <w:marLeft w:val="446"/>
          <w:marRight w:val="0"/>
          <w:marTop w:val="0"/>
          <w:marBottom w:val="0"/>
          <w:divBdr>
            <w:top w:val="none" w:sz="0" w:space="0" w:color="auto"/>
            <w:left w:val="none" w:sz="0" w:space="0" w:color="auto"/>
            <w:bottom w:val="none" w:sz="0" w:space="0" w:color="auto"/>
            <w:right w:val="none" w:sz="0" w:space="0" w:color="auto"/>
          </w:divBdr>
        </w:div>
        <w:div w:id="1480608052">
          <w:marLeft w:val="1166"/>
          <w:marRight w:val="0"/>
          <w:marTop w:val="0"/>
          <w:marBottom w:val="0"/>
          <w:divBdr>
            <w:top w:val="none" w:sz="0" w:space="0" w:color="auto"/>
            <w:left w:val="none" w:sz="0" w:space="0" w:color="auto"/>
            <w:bottom w:val="none" w:sz="0" w:space="0" w:color="auto"/>
            <w:right w:val="none" w:sz="0" w:space="0" w:color="auto"/>
          </w:divBdr>
        </w:div>
      </w:divsChild>
    </w:div>
    <w:div w:id="1845823832">
      <w:bodyDiv w:val="1"/>
      <w:marLeft w:val="0"/>
      <w:marRight w:val="0"/>
      <w:marTop w:val="0"/>
      <w:marBottom w:val="0"/>
      <w:divBdr>
        <w:top w:val="none" w:sz="0" w:space="0" w:color="auto"/>
        <w:left w:val="none" w:sz="0" w:space="0" w:color="auto"/>
        <w:bottom w:val="none" w:sz="0" w:space="0" w:color="auto"/>
        <w:right w:val="none" w:sz="0" w:space="0" w:color="auto"/>
      </w:divBdr>
      <w:divsChild>
        <w:div w:id="1287352411">
          <w:marLeft w:val="2261"/>
          <w:marRight w:val="0"/>
          <w:marTop w:val="86"/>
          <w:marBottom w:val="0"/>
          <w:divBdr>
            <w:top w:val="none" w:sz="0" w:space="0" w:color="auto"/>
            <w:left w:val="none" w:sz="0" w:space="0" w:color="auto"/>
            <w:bottom w:val="none" w:sz="0" w:space="0" w:color="auto"/>
            <w:right w:val="none" w:sz="0" w:space="0" w:color="auto"/>
          </w:divBdr>
        </w:div>
      </w:divsChild>
    </w:div>
    <w:div w:id="1947418348">
      <w:bodyDiv w:val="1"/>
      <w:marLeft w:val="0"/>
      <w:marRight w:val="0"/>
      <w:marTop w:val="0"/>
      <w:marBottom w:val="0"/>
      <w:divBdr>
        <w:top w:val="none" w:sz="0" w:space="0" w:color="auto"/>
        <w:left w:val="none" w:sz="0" w:space="0" w:color="auto"/>
        <w:bottom w:val="none" w:sz="0" w:space="0" w:color="auto"/>
        <w:right w:val="none" w:sz="0" w:space="0" w:color="auto"/>
      </w:divBdr>
    </w:div>
    <w:div w:id="1972710878">
      <w:bodyDiv w:val="1"/>
      <w:marLeft w:val="0"/>
      <w:marRight w:val="0"/>
      <w:marTop w:val="0"/>
      <w:marBottom w:val="0"/>
      <w:divBdr>
        <w:top w:val="none" w:sz="0" w:space="0" w:color="auto"/>
        <w:left w:val="none" w:sz="0" w:space="0" w:color="auto"/>
        <w:bottom w:val="none" w:sz="0" w:space="0" w:color="auto"/>
        <w:right w:val="none" w:sz="0" w:space="0" w:color="auto"/>
      </w:divBdr>
    </w:div>
    <w:div w:id="1990359992">
      <w:bodyDiv w:val="1"/>
      <w:marLeft w:val="0"/>
      <w:marRight w:val="0"/>
      <w:marTop w:val="0"/>
      <w:marBottom w:val="0"/>
      <w:divBdr>
        <w:top w:val="none" w:sz="0" w:space="0" w:color="auto"/>
        <w:left w:val="none" w:sz="0" w:space="0" w:color="auto"/>
        <w:bottom w:val="none" w:sz="0" w:space="0" w:color="auto"/>
        <w:right w:val="none" w:sz="0" w:space="0" w:color="auto"/>
      </w:divBdr>
    </w:div>
    <w:div w:id="1999843407">
      <w:bodyDiv w:val="1"/>
      <w:marLeft w:val="0"/>
      <w:marRight w:val="0"/>
      <w:marTop w:val="0"/>
      <w:marBottom w:val="0"/>
      <w:divBdr>
        <w:top w:val="none" w:sz="0" w:space="0" w:color="auto"/>
        <w:left w:val="none" w:sz="0" w:space="0" w:color="auto"/>
        <w:bottom w:val="none" w:sz="0" w:space="0" w:color="auto"/>
        <w:right w:val="none" w:sz="0" w:space="0" w:color="auto"/>
      </w:divBdr>
      <w:divsChild>
        <w:div w:id="409500904">
          <w:marLeft w:val="547"/>
          <w:marRight w:val="0"/>
          <w:marTop w:val="106"/>
          <w:marBottom w:val="0"/>
          <w:divBdr>
            <w:top w:val="none" w:sz="0" w:space="0" w:color="auto"/>
            <w:left w:val="none" w:sz="0" w:space="0" w:color="auto"/>
            <w:bottom w:val="none" w:sz="0" w:space="0" w:color="auto"/>
            <w:right w:val="none" w:sz="0" w:space="0" w:color="auto"/>
          </w:divBdr>
        </w:div>
        <w:div w:id="831290842">
          <w:marLeft w:val="1166"/>
          <w:marRight w:val="0"/>
          <w:marTop w:val="96"/>
          <w:marBottom w:val="0"/>
          <w:divBdr>
            <w:top w:val="none" w:sz="0" w:space="0" w:color="auto"/>
            <w:left w:val="none" w:sz="0" w:space="0" w:color="auto"/>
            <w:bottom w:val="none" w:sz="0" w:space="0" w:color="auto"/>
            <w:right w:val="none" w:sz="0" w:space="0" w:color="auto"/>
          </w:divBdr>
        </w:div>
        <w:div w:id="1072238395">
          <w:marLeft w:val="1166"/>
          <w:marRight w:val="0"/>
          <w:marTop w:val="96"/>
          <w:marBottom w:val="0"/>
          <w:divBdr>
            <w:top w:val="none" w:sz="0" w:space="0" w:color="auto"/>
            <w:left w:val="none" w:sz="0" w:space="0" w:color="auto"/>
            <w:bottom w:val="none" w:sz="0" w:space="0" w:color="auto"/>
            <w:right w:val="none" w:sz="0" w:space="0" w:color="auto"/>
          </w:divBdr>
        </w:div>
        <w:div w:id="1322925531">
          <w:marLeft w:val="1166"/>
          <w:marRight w:val="0"/>
          <w:marTop w:val="96"/>
          <w:marBottom w:val="0"/>
          <w:divBdr>
            <w:top w:val="none" w:sz="0" w:space="0" w:color="auto"/>
            <w:left w:val="none" w:sz="0" w:space="0" w:color="auto"/>
            <w:bottom w:val="none" w:sz="0" w:space="0" w:color="auto"/>
            <w:right w:val="none" w:sz="0" w:space="0" w:color="auto"/>
          </w:divBdr>
        </w:div>
        <w:div w:id="1414550675">
          <w:marLeft w:val="547"/>
          <w:marRight w:val="0"/>
          <w:marTop w:val="106"/>
          <w:marBottom w:val="0"/>
          <w:divBdr>
            <w:top w:val="none" w:sz="0" w:space="0" w:color="auto"/>
            <w:left w:val="none" w:sz="0" w:space="0" w:color="auto"/>
            <w:bottom w:val="none" w:sz="0" w:space="0" w:color="auto"/>
            <w:right w:val="none" w:sz="0" w:space="0" w:color="auto"/>
          </w:divBdr>
        </w:div>
        <w:div w:id="1502352482">
          <w:marLeft w:val="1166"/>
          <w:marRight w:val="0"/>
          <w:marTop w:val="96"/>
          <w:marBottom w:val="0"/>
          <w:divBdr>
            <w:top w:val="none" w:sz="0" w:space="0" w:color="auto"/>
            <w:left w:val="none" w:sz="0" w:space="0" w:color="auto"/>
            <w:bottom w:val="none" w:sz="0" w:space="0" w:color="auto"/>
            <w:right w:val="none" w:sz="0" w:space="0" w:color="auto"/>
          </w:divBdr>
        </w:div>
        <w:div w:id="1554656471">
          <w:marLeft w:val="1166"/>
          <w:marRight w:val="0"/>
          <w:marTop w:val="96"/>
          <w:marBottom w:val="0"/>
          <w:divBdr>
            <w:top w:val="none" w:sz="0" w:space="0" w:color="auto"/>
            <w:left w:val="none" w:sz="0" w:space="0" w:color="auto"/>
            <w:bottom w:val="none" w:sz="0" w:space="0" w:color="auto"/>
            <w:right w:val="none" w:sz="0" w:space="0" w:color="auto"/>
          </w:divBdr>
        </w:div>
        <w:div w:id="1814903107">
          <w:marLeft w:val="116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4330697">
      <w:bodyDiv w:val="1"/>
      <w:marLeft w:val="0"/>
      <w:marRight w:val="0"/>
      <w:marTop w:val="0"/>
      <w:marBottom w:val="0"/>
      <w:divBdr>
        <w:top w:val="none" w:sz="0" w:space="0" w:color="auto"/>
        <w:left w:val="none" w:sz="0" w:space="0" w:color="auto"/>
        <w:bottom w:val="none" w:sz="0" w:space="0" w:color="auto"/>
        <w:right w:val="none" w:sz="0" w:space="0" w:color="auto"/>
      </w:divBdr>
    </w:div>
    <w:div w:id="2122801834">
      <w:bodyDiv w:val="1"/>
      <w:marLeft w:val="0"/>
      <w:marRight w:val="0"/>
      <w:marTop w:val="0"/>
      <w:marBottom w:val="0"/>
      <w:divBdr>
        <w:top w:val="none" w:sz="0" w:space="0" w:color="auto"/>
        <w:left w:val="none" w:sz="0" w:space="0" w:color="auto"/>
        <w:bottom w:val="none" w:sz="0" w:space="0" w:color="auto"/>
        <w:right w:val="none" w:sz="0" w:space="0" w:color="auto"/>
      </w:divBdr>
    </w:div>
    <w:div w:id="2136825051">
      <w:bodyDiv w:val="1"/>
      <w:marLeft w:val="0"/>
      <w:marRight w:val="0"/>
      <w:marTop w:val="0"/>
      <w:marBottom w:val="0"/>
      <w:divBdr>
        <w:top w:val="none" w:sz="0" w:space="0" w:color="auto"/>
        <w:left w:val="none" w:sz="0" w:space="0" w:color="auto"/>
        <w:bottom w:val="none" w:sz="0" w:space="0" w:color="auto"/>
        <w:right w:val="none" w:sz="0" w:space="0" w:color="auto"/>
      </w:divBdr>
      <w:divsChild>
        <w:div w:id="1207569836">
          <w:marLeft w:val="2520"/>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DFF46F-D909-4258-9594-7CA2EAC91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FADF51-7BD0-4FDD-9238-F1FF11D53468}">
  <ds:schemaRefs>
    <ds:schemaRef ds:uri="http://schemas.microsoft.com/sharepoint/v3/contenttype/forms"/>
  </ds:schemaRefs>
</ds:datastoreItem>
</file>

<file path=customXml/itemProps3.xml><?xml version="1.0" encoding="utf-8"?>
<ds:datastoreItem xmlns:ds="http://schemas.openxmlformats.org/officeDocument/2006/customXml" ds:itemID="{97A42D83-FF87-432B-9D78-83CD72E6F29C}">
  <ds:schemaRefs>
    <ds:schemaRef ds:uri="http://schemas.microsoft.com/office/2006/metadata/longProperties"/>
  </ds:schemaRefs>
</ds:datastoreItem>
</file>

<file path=customXml/itemProps4.xml><?xml version="1.0" encoding="utf-8"?>
<ds:datastoreItem xmlns:ds="http://schemas.openxmlformats.org/officeDocument/2006/customXml" ds:itemID="{FABF921F-FC08-475C-A967-16BF2E052A2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5.xml><?xml version="1.0" encoding="utf-8"?>
<ds:datastoreItem xmlns:ds="http://schemas.openxmlformats.org/officeDocument/2006/customXml" ds:itemID="{F470F293-23F4-4EAF-9D47-868D9C7D1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2</Pages>
  <Words>959</Words>
  <Characters>5468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Support;MediaTek</dc:creator>
  <cp:keywords>&lt;keyword[, keyword]&gt;</cp:keywords>
  <cp:lastModifiedBy>Chienhwa Hwang (黃建華)</cp:lastModifiedBy>
  <cp:revision>28</cp:revision>
  <dcterms:created xsi:type="dcterms:W3CDTF">2019-08-16T11:13:00Z</dcterms:created>
  <dcterms:modified xsi:type="dcterms:W3CDTF">2019-10-04T09:25:00Z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echnical_x0020_Type">
    <vt:lpwstr/>
  </property>
  <property fmtid="{D5CDD505-2E9C-101B-9397-08002B2CF9AE}" pid="4" name="Document_x0020_Type">
    <vt:lpwstr/>
  </property>
</Properties>
</file>